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0438-2021-QEO-2022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青岛环绿废弃物处置有限公司第一分公司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青岛环绿废弃物处置有限公司第一分公司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山东省青岛市胶州市胶西街道办事处西外环路160号</w:t>
            </w:r>
            <w:bookmarkEnd w:id="6"/>
          </w:p>
        </w:tc>
        <w:tc>
          <w:tcPr>
            <w:tcW w:w="1242" w:type="dxa"/>
            <w:vMerge w:val="restart"/>
            <w:vAlign w:val="center"/>
          </w:tcPr>
          <w:p>
            <w:r>
              <w:rPr>
                <w:rFonts w:hint="eastAsia"/>
              </w:rPr>
              <w:t>邮编</w:t>
            </w:r>
          </w:p>
        </w:tc>
        <w:tc>
          <w:tcPr>
            <w:tcW w:w="1771" w:type="dxa"/>
          </w:tcPr>
          <w:p>
            <w:bookmarkStart w:id="7" w:name="注册邮编"/>
            <w:r>
              <w:t>266321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山东省青岛市胶州市胶西街道办事处西外环路160号</w:t>
            </w:r>
            <w:bookmarkEnd w:id="8"/>
          </w:p>
        </w:tc>
        <w:tc>
          <w:tcPr>
            <w:tcW w:w="1242" w:type="dxa"/>
            <w:vMerge w:val="continue"/>
            <w:vAlign w:val="center"/>
          </w:tcPr>
          <w:p/>
        </w:tc>
        <w:tc>
          <w:tcPr>
            <w:tcW w:w="1771" w:type="dxa"/>
          </w:tcPr>
          <w:p>
            <w:bookmarkStart w:id="9" w:name="办公邮编"/>
            <w:r>
              <w:t>266321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胡清</w:t>
            </w:r>
            <w:bookmarkEnd w:id="10"/>
          </w:p>
        </w:tc>
        <w:tc>
          <w:tcPr>
            <w:tcW w:w="1313" w:type="dxa"/>
            <w:vAlign w:val="center"/>
          </w:tcPr>
          <w:p>
            <w:r>
              <w:rPr>
                <w:rFonts w:hint="eastAsia"/>
              </w:rPr>
              <w:t>电话.</w:t>
            </w:r>
          </w:p>
        </w:tc>
        <w:tc>
          <w:tcPr>
            <w:tcW w:w="2180" w:type="dxa"/>
            <w:vAlign w:val="center"/>
          </w:tcPr>
          <w:p>
            <w:bookmarkStart w:id="11" w:name="联系人电话"/>
            <w:r>
              <w:t>13678881606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徐刚</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徐嘉怡</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asciiTheme="majorEastAsia" w:hAnsiTheme="majorEastAsia" w:eastAsiaTheme="majorEastAsia"/>
              </w:rPr>
              <w:drawing>
                <wp:anchor distT="0" distB="0" distL="0" distR="0" simplePos="0" relativeHeight="251662336" behindDoc="1" locked="0" layoutInCell="1" allowOverlap="1">
                  <wp:simplePos x="0" y="0"/>
                  <wp:positionH relativeFrom="column">
                    <wp:posOffset>67945</wp:posOffset>
                  </wp:positionH>
                  <wp:positionV relativeFrom="paragraph">
                    <wp:posOffset>124460</wp:posOffset>
                  </wp:positionV>
                  <wp:extent cx="4543425" cy="933450"/>
                  <wp:effectExtent l="0" t="0" r="9525" b="0"/>
                  <wp:wrapTight wrapText="bothSides">
                    <wp:wrapPolygon>
                      <wp:start x="0" y="0"/>
                      <wp:lineTo x="0" y="21159"/>
                      <wp:lineTo x="21555" y="21159"/>
                      <wp:lineTo x="2155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4543425" cy="933450"/>
                          </a:xfrm>
                          <a:prstGeom prst="rect">
                            <a:avLst/>
                          </a:prstGeom>
                        </pic:spPr>
                      </pic:pic>
                    </a:graphicData>
                  </a:graphic>
                </wp:anchor>
              </w:drawing>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2022年05月22日 上午至2022年05月22日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山东省青岛市胶州市胶西街道办事处西外环路160号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Q：许可范围内一般工业固体废物的治理（收集、转运）</w:t>
            </w:r>
          </w:p>
          <w:p>
            <w:r>
              <w:t>E：许可范围内一般工业固体废物的治理（收集、转运）所涉及场所的相关环境管理活动</w:t>
            </w:r>
          </w:p>
          <w:p>
            <w:r>
              <w:t>O：许可范围内一般工业固体废物的治理（收集、转运）所涉及场所的相关职业健康安全管理活动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Q：31.04.01;39.02.01</w:t>
            </w:r>
          </w:p>
          <w:p>
            <w:r>
              <w:t>E：31.04.01;39.02.01</w:t>
            </w:r>
          </w:p>
          <w:p>
            <w:r>
              <w:t>O：31.04.01;39.02.01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宋体" w:hAnsi="宋体"/>
                <w:b w:val="0"/>
                <w:bCs/>
                <w:color w:val="000000" w:themeColor="text1"/>
                <w:sz w:val="20"/>
                <w:szCs w:val="20"/>
              </w:rPr>
              <w:t>2020-10-26</w:t>
            </w:r>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val="0"/>
                <w:bCs/>
                <w:sz w:val="20"/>
              </w:rPr>
              <w:t>2021年06月02日 上午至2021年06月05日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78"/>
        <w:gridCol w:w="11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78" w:type="dxa"/>
            <w:shd w:val="clear" w:color="auto" w:fill="F3F3F3"/>
            <w:tcMar>
              <w:left w:w="57" w:type="dxa"/>
              <w:right w:w="57" w:type="dxa"/>
            </w:tcMar>
          </w:tcPr>
          <w:p>
            <w:r>
              <w:rPr>
                <w:rFonts w:hint="eastAsia"/>
              </w:rPr>
              <w:t>审核范围（产品和过程）</w:t>
            </w:r>
          </w:p>
          <w:p/>
          <w:p/>
        </w:tc>
        <w:tc>
          <w:tcPr>
            <w:tcW w:w="11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青岛环绿废弃物处置有限公司第一分公司</w:t>
            </w:r>
          </w:p>
          <w:p>
            <w:pPr>
              <w:pStyle w:val="11"/>
              <w:rPr>
                <w:lang w:val="de-DE" w:eastAsia="ja-JP"/>
              </w:rPr>
            </w:pPr>
            <w:r>
              <w:rPr>
                <w:rFonts w:asciiTheme="minorEastAsia" w:hAnsiTheme="minorEastAsia" w:eastAsiaTheme="minorEastAsia"/>
                <w:sz w:val="20"/>
              </w:rPr>
              <w:t>山东省青岛市胶州市胶西街道办事处西外环路160号</w:t>
            </w:r>
          </w:p>
        </w:tc>
        <w:tc>
          <w:tcPr>
            <w:tcW w:w="2267" w:type="dxa"/>
          </w:tcPr>
          <w:p>
            <w:pPr>
              <w:rPr>
                <w:lang w:val="de-DE" w:eastAsia="ja-JP"/>
              </w:rPr>
            </w:pPr>
            <w:r>
              <w:rPr>
                <w:rFonts w:asciiTheme="minorEastAsia" w:hAnsiTheme="minorEastAsia" w:eastAsiaTheme="minorEastAsia"/>
                <w:sz w:val="20"/>
              </w:rPr>
              <w:t>山东省青岛市胶州市胶西街道办事处西外环路160号</w:t>
            </w:r>
          </w:p>
        </w:tc>
        <w:tc>
          <w:tcPr>
            <w:tcW w:w="571" w:type="dxa"/>
            <w:vAlign w:val="center"/>
          </w:tcPr>
          <w:p>
            <w:pPr>
              <w:rPr>
                <w:rFonts w:hint="eastAsia" w:eastAsia="宋体"/>
                <w:lang w:val="en-US" w:eastAsia="zh-CN"/>
              </w:rPr>
            </w:pPr>
            <w:r>
              <w:rPr>
                <w:rFonts w:hint="eastAsia"/>
                <w:lang w:val="en-US" w:eastAsia="zh-CN"/>
              </w:rPr>
              <w:t>9</w:t>
            </w:r>
          </w:p>
        </w:tc>
        <w:tc>
          <w:tcPr>
            <w:tcW w:w="2278" w:type="dxa"/>
            <w:vAlign w:val="center"/>
          </w:tcPr>
          <w:p>
            <w:pPr>
              <w:spacing w:line="240" w:lineRule="exact"/>
              <w:rPr>
                <w:sz w:val="20"/>
              </w:rPr>
            </w:pPr>
            <w:r>
              <w:rPr>
                <w:sz w:val="20"/>
              </w:rPr>
              <w:t>Q：许可范围内一般工业固体废物的治理（收集、转运）</w:t>
            </w:r>
          </w:p>
          <w:p>
            <w:pPr>
              <w:spacing w:line="240" w:lineRule="exact"/>
              <w:rPr>
                <w:sz w:val="20"/>
              </w:rPr>
            </w:pPr>
            <w:r>
              <w:rPr>
                <w:sz w:val="20"/>
              </w:rPr>
              <w:t>E：许可范围内一般工业固体废物的治理（收集、转运）所涉及场所的相关环境管理活动</w:t>
            </w:r>
          </w:p>
          <w:p>
            <w:pPr>
              <w:rPr>
                <w:lang w:eastAsia="ja-JP"/>
              </w:rPr>
            </w:pPr>
            <w:r>
              <w:rPr>
                <w:sz w:val="20"/>
              </w:rPr>
              <w:t>O：许可范围内一般工业固体废物的治理（收集、转运）所涉及场所的相关职业健康安全管理活动</w:t>
            </w:r>
          </w:p>
        </w:tc>
        <w:tc>
          <w:tcPr>
            <w:tcW w:w="1194" w:type="dxa"/>
            <w:vAlign w:val="center"/>
          </w:tcPr>
          <w:p>
            <w:pPr>
              <w:rPr>
                <w:rFonts w:ascii="宋体" w:hAnsi="宋体"/>
                <w:b w:val="0"/>
                <w:bCs/>
                <w:sz w:val="21"/>
                <w:szCs w:val="21"/>
              </w:rPr>
            </w:pPr>
            <w:r>
              <w:rPr>
                <w:rFonts w:hint="eastAsia" w:ascii="宋体" w:hAnsi="宋体"/>
                <w:b w:val="0"/>
                <w:bCs/>
                <w:sz w:val="21"/>
                <w:szCs w:val="21"/>
              </w:rPr>
              <w:t xml:space="preserve">■GB/T19001-2016     </w:t>
            </w:r>
          </w:p>
          <w:p>
            <w:pPr>
              <w:rPr>
                <w:rFonts w:hint="eastAsia" w:ascii="宋体" w:hAnsi="宋体"/>
                <w:b w:val="0"/>
                <w:bCs/>
                <w:sz w:val="21"/>
                <w:szCs w:val="21"/>
              </w:rPr>
            </w:pPr>
            <w:r>
              <w:rPr>
                <w:rFonts w:hint="eastAsia" w:ascii="宋体" w:hAnsi="宋体"/>
                <w:b w:val="0"/>
                <w:bCs/>
                <w:sz w:val="21"/>
                <w:szCs w:val="21"/>
              </w:rPr>
              <w:t xml:space="preserve">■GB/T24001-2016 </w:t>
            </w:r>
          </w:p>
          <w:p>
            <w:pPr>
              <w:rPr>
                <w:rFonts w:hint="eastAsia" w:ascii="宋体" w:hAnsi="宋体"/>
                <w:b w:val="0"/>
                <w:bCs/>
                <w:sz w:val="21"/>
                <w:szCs w:val="21"/>
              </w:rPr>
            </w:pPr>
            <w:r>
              <w:rPr>
                <w:rFonts w:hint="eastAsia" w:ascii="宋体" w:hAnsi="宋体"/>
                <w:b w:val="0"/>
                <w:bCs/>
                <w:sz w:val="21"/>
                <w:szCs w:val="21"/>
              </w:rPr>
              <w:t>■</w:t>
            </w:r>
          </w:p>
          <w:p>
            <w:pPr>
              <w:rPr>
                <w:rFonts w:ascii="Times New Roman" w:hAnsi="Times New Roman" w:eastAsia="黑体" w:cs="Times New Roman"/>
                <w:kern w:val="2"/>
                <w:sz w:val="21"/>
                <w:szCs w:val="21"/>
                <w:lang w:val="en-US" w:eastAsia="ja-JP" w:bidi="ar-SA"/>
              </w:rPr>
            </w:pPr>
            <w:r>
              <w:rPr>
                <w:rFonts w:hint="eastAsia" w:ascii="宋体" w:hAnsi="宋体"/>
                <w:b w:val="0"/>
                <w:bCs/>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sz w:val="21"/>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8" w:type="dxa"/>
            <w:vAlign w:val="center"/>
          </w:tcPr>
          <w:p>
            <w:pPr>
              <w:rPr>
                <w:lang w:eastAsia="ja-JP"/>
              </w:rPr>
            </w:pPr>
          </w:p>
        </w:tc>
        <w:tc>
          <w:tcPr>
            <w:tcW w:w="11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8" w:type="dxa"/>
            <w:vAlign w:val="center"/>
          </w:tcPr>
          <w:p>
            <w:pPr>
              <w:rPr>
                <w:lang w:eastAsia="ja-JP"/>
              </w:rPr>
            </w:pPr>
          </w:p>
        </w:tc>
        <w:tc>
          <w:tcPr>
            <w:tcW w:w="1194" w:type="dxa"/>
            <w:vAlign w:val="center"/>
          </w:tcPr>
          <w:p>
            <w:pPr>
              <w:rPr>
                <w:lang w:eastAsia="ja-JP"/>
              </w:rPr>
            </w:pPr>
          </w:p>
        </w:tc>
        <w:tc>
          <w:tcPr>
            <w:tcW w:w="668" w:type="dxa"/>
            <w:shd w:val="clear" w:color="auto" w:fill="FFFFFF"/>
          </w:tcPr>
          <w:p>
            <w:r>
              <w:rPr>
                <w:rFonts w:hint="eastAsia"/>
              </w:rPr>
              <w:t>☐</w:t>
            </w:r>
          </w:p>
        </w:tc>
      </w:tr>
    </w:tbl>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b w:val="0"/>
                <w:bCs/>
                <w:sz w:val="21"/>
                <w:szCs w:val="21"/>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2021-N1EMS-4043149</w:t>
            </w:r>
          </w:p>
          <w:p>
            <w:r>
              <w:t>2020-N1OHSMS-3043149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战锡波</w:t>
            </w:r>
          </w:p>
        </w:tc>
        <w:tc>
          <w:tcPr>
            <w:tcW w:w="1089" w:type="dxa"/>
            <w:vAlign w:val="center"/>
          </w:tcPr>
          <w:p>
            <w:r>
              <w:t>组员</w:t>
            </w:r>
          </w:p>
        </w:tc>
        <w:tc>
          <w:tcPr>
            <w:tcW w:w="711" w:type="dxa"/>
            <w:vAlign w:val="center"/>
          </w:tcPr>
          <w:p>
            <w:r>
              <w:t>男</w:t>
            </w:r>
          </w:p>
        </w:tc>
        <w:tc>
          <w:tcPr>
            <w:tcW w:w="3870" w:type="dxa"/>
            <w:vAlign w:val="center"/>
          </w:tcPr>
          <w:p>
            <w:r>
              <w:t>ISC-JSZJ-301</w:t>
            </w:r>
          </w:p>
          <w:p>
            <w:r>
              <w:t>ISC-JSZJ-301</w:t>
            </w:r>
          </w:p>
          <w:p>
            <w:r>
              <w:t>ISC-JSZJ-301</w:t>
            </w:r>
          </w:p>
          <w:p>
            <w:r>
              <w:t>台玻青岛玻璃有限公司</w:t>
            </w:r>
          </w:p>
        </w:tc>
        <w:tc>
          <w:tcPr>
            <w:tcW w:w="2179" w:type="dxa"/>
            <w:vAlign w:val="center"/>
          </w:tcPr>
          <w:p>
            <w:r>
              <w:t>Q:31.04.01,39.02.01</w:t>
            </w:r>
          </w:p>
          <w:p>
            <w:r>
              <w:t>E:31.04.01,39.02.01</w:t>
            </w:r>
          </w:p>
          <w:p>
            <w:r>
              <w:t>O:31.04.01,39.02.01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3870" w:type="dxa"/>
            <w:vAlign w:val="center"/>
          </w:tcPr>
          <w:p>
            <w:r>
              <w:t>2022-N1QMS-4073544</w:t>
            </w:r>
          </w:p>
          <w:p>
            <w:r>
              <w:t>2020-N1EMS-3073544</w:t>
            </w:r>
          </w:p>
          <w:p>
            <w:r>
              <w:t>2020-N1OHSMS-3073544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b w:val="0"/>
          <w:bCs/>
          <w:sz w:val="21"/>
          <w:szCs w:val="21"/>
        </w:rPr>
        <w:t>■</w:t>
      </w:r>
      <w:r>
        <w:rPr>
          <w:rFonts w:hint="eastAsia"/>
        </w:rPr>
        <w:t>QMS □EcMS</w:t>
      </w:r>
      <w:r>
        <w:rPr>
          <w:rFonts w:hint="eastAsia" w:ascii="宋体" w:hAnsi="宋体"/>
          <w:b w:val="0"/>
          <w:bCs/>
          <w:sz w:val="21"/>
          <w:szCs w:val="21"/>
        </w:rPr>
        <w:t>■</w:t>
      </w:r>
      <w:r>
        <w:rPr>
          <w:rFonts w:hint="eastAsia"/>
        </w:rPr>
        <w:t>EMS</w:t>
      </w:r>
      <w:r>
        <w:rPr>
          <w:rFonts w:hint="eastAsia" w:ascii="宋体" w:hAnsi="宋体"/>
          <w:b w:val="0"/>
          <w:bCs/>
          <w:sz w:val="21"/>
          <w:szCs w:val="21"/>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b w:val="0"/>
                <w:bCs/>
                <w:sz w:val="21"/>
                <w:szCs w:val="21"/>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宋体"/>
                <w:lang w:val="en-US" w:eastAsia="zh-CN"/>
              </w:rPr>
              <w:t>已有效整改，验证合格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ascii="宋体" w:hAnsi="宋体"/>
          <w:b w:val="0"/>
          <w:bCs/>
          <w:sz w:val="21"/>
          <w:szCs w:val="21"/>
        </w:rPr>
        <w:t>■</w:t>
      </w:r>
      <w:r>
        <w:rPr>
          <w:rFonts w:hint="eastAsia"/>
        </w:rPr>
        <w:t>达到审核目的</w:t>
      </w:r>
    </w:p>
    <w:p>
      <w:pPr>
        <w:rPr>
          <w:u w:val="single"/>
        </w:rPr>
      </w:pPr>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b w:val="0"/>
                <w:bCs/>
                <w:sz w:val="21"/>
                <w:szCs w:val="21"/>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b w:val="0"/>
                <w:bCs/>
                <w:sz w:val="21"/>
                <w:szCs w:val="21"/>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b w:val="0"/>
                <w:bCs/>
                <w:sz w:val="21"/>
                <w:szCs w:val="21"/>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eastAsia"/>
                <w:sz w:val="20"/>
                <w:lang w:val="en-US" w:eastAsia="zh-CN"/>
              </w:rPr>
              <w:t>Q</w:t>
            </w:r>
            <w:r>
              <w:rPr>
                <w:sz w:val="20"/>
              </w:rPr>
              <w:t>：许可范围内一般工业固体废物的治理（收集、转运）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spacing w:line="240" w:lineRule="exact"/>
            </w:pPr>
            <w:r>
              <w:rPr>
                <w:sz w:val="20"/>
              </w:rPr>
              <w:t>E：许可范围内一般工业固体废物的治理（收集、转运）所涉及场所的相关环境管理活动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O：许可范围内一般工业固体废物的治理（收集、转运）所涉及场所的相关职业健康安全管理活动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b w:val="0"/>
                <w:bCs/>
                <w:sz w:val="21"/>
                <w:szCs w:val="21"/>
              </w:rPr>
              <w:t>■</w:t>
            </w:r>
            <w:r>
              <w:rPr>
                <w:rFonts w:hint="eastAsia"/>
              </w:rPr>
              <w:t>在完成纠正措施后推荐保持认证注册(</w:t>
            </w:r>
            <w:r>
              <w:rPr>
                <w:rFonts w:hint="eastAsia" w:ascii="宋体" w:hAnsi="宋体"/>
                <w:b w:val="0"/>
                <w:bCs/>
                <w:sz w:val="21"/>
                <w:szCs w:val="21"/>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b w:val="0"/>
                <w:bCs/>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b w:val="0"/>
                <w:bCs/>
                <w:sz w:val="21"/>
                <w:szCs w:val="21"/>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val="0"/>
                <w:bCs/>
                <w:sz w:val="21"/>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drawing>
                <wp:anchor distT="0" distB="0" distL="114300" distR="114300" simplePos="0" relativeHeight="251660288" behindDoc="0" locked="0" layoutInCell="1" allowOverlap="1">
                  <wp:simplePos x="0" y="0"/>
                  <wp:positionH relativeFrom="column">
                    <wp:posOffset>-29845</wp:posOffset>
                  </wp:positionH>
                  <wp:positionV relativeFrom="paragraph">
                    <wp:posOffset>-30480</wp:posOffset>
                  </wp:positionV>
                  <wp:extent cx="6657975" cy="535305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657975" cy="5353050"/>
                          </a:xfrm>
                          <a:prstGeom prst="rect">
                            <a:avLst/>
                          </a:prstGeom>
                          <a:noFill/>
                          <a:ln>
                            <a:noFill/>
                          </a:ln>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060"/>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审核周期</w:t>
            </w:r>
          </w:p>
        </w:tc>
        <w:tc>
          <w:tcPr>
            <w:tcW w:w="8902"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体系要素</w:t>
            </w:r>
          </w:p>
        </w:tc>
        <w:tc>
          <w:tcPr>
            <w:tcW w:w="8902"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restart"/>
            <w:shd w:val="clear" w:color="auto" w:fill="C7DAF1" w:themeFill="text2" w:themeFillTint="32"/>
          </w:tcPr>
          <w:p>
            <w:pPr>
              <w:shd w:val="clear" w:color="auto" w:fill="C7DAF1" w:themeFill="text2" w:themeFillTint="32"/>
            </w:pPr>
            <w:r>
              <w:rPr>
                <w:rFonts w:hint="eastAsia"/>
              </w:rPr>
              <w:t>组织环境</w:t>
            </w:r>
          </w:p>
        </w:tc>
        <w:tc>
          <w:tcPr>
            <w:tcW w:w="8902"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w:t>
                  </w:r>
                  <w:r>
                    <w:rPr>
                      <w:rFonts w:hint="eastAsia"/>
                    </w:rPr>
                    <w:sym w:font="Wingdings 2" w:char="00A3"/>
                  </w:r>
                  <w:r>
                    <w:rPr>
                      <w:rFonts w:hint="eastAsia"/>
                    </w:rPr>
                    <w:t xml:space="preserve">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A3"/>
                  </w:r>
                  <w:r>
                    <w:rPr>
                      <w:rFonts w:hint="eastAsia"/>
                    </w:rPr>
                    <w:t xml:space="preserve">价值观  </w:t>
                  </w:r>
                  <w:r>
                    <w:rPr>
                      <w:rFonts w:hint="eastAsia"/>
                    </w:rPr>
                    <w:sym w:font="Wingdings 2" w:char="00A3"/>
                  </w:r>
                  <w:r>
                    <w:rPr>
                      <w:rFonts w:hint="eastAsia"/>
                    </w:rPr>
                    <w:t xml:space="preserve">文化  </w:t>
                  </w:r>
                  <w:r>
                    <w:rPr>
                      <w:rFonts w:hint="eastAsia"/>
                    </w:rPr>
                    <w:sym w:font="Wingdings 2" w:char="00A3"/>
                  </w:r>
                  <w:r>
                    <w:rPr>
                      <w:rFonts w:hint="eastAsia"/>
                    </w:rPr>
                    <w:t xml:space="preserve">知识 ■绩效 </w:t>
                  </w:r>
                  <w:r>
                    <w:rPr>
                      <w:rFonts w:hint="eastAsia"/>
                    </w:rPr>
                    <w:sym w:font="Wingdings 2" w:char="00A3"/>
                  </w:r>
                  <w:r>
                    <w:rPr>
                      <w:rFonts w:hint="eastAsia"/>
                    </w:rPr>
                    <w:t xml:space="preserve">工艺 ■设备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w:t>
            </w:r>
            <w:r>
              <w:rPr>
                <w:rFonts w:hint="eastAsia"/>
                <w:lang w:val="en-US" w:eastAsia="zh-CN"/>
              </w:rPr>
              <w:t xml:space="preserve"> </w:t>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领导作用</w:t>
            </w:r>
          </w:p>
        </w:tc>
        <w:tc>
          <w:tcPr>
            <w:tcW w:w="8902"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pacing w:line="280" w:lineRule="exact"/>
              <w:rPr>
                <w:rFonts w:hint="eastAsia"/>
                <w:lang w:val="en-GB"/>
              </w:rPr>
            </w:pPr>
            <w:r>
              <w:rPr>
                <w:rFonts w:hint="eastAsia"/>
                <w:lang w:val="en-GB"/>
              </w:rPr>
              <w:t>最高管理者制定了文件化的管理体系方针：</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质量方针：</w:t>
            </w:r>
          </w:p>
          <w:p>
            <w:pPr>
              <w:spacing w:line="280" w:lineRule="exact"/>
              <w:ind w:firstLine="422" w:firstLineChars="200"/>
              <w:rPr>
                <w:rFonts w:hint="eastAsia" w:cs="宋体" w:asciiTheme="minorEastAsia" w:hAnsiTheme="minorEastAsia" w:eastAsiaTheme="minorEastAsia"/>
                <w:szCs w:val="21"/>
                <w:lang w:val="en-US" w:eastAsia="zh-CN"/>
              </w:rPr>
            </w:pPr>
            <w:r>
              <w:rPr>
                <w:rFonts w:ascii="Times New Roman" w:hAnsi="Times New Roman"/>
                <w:b/>
                <w:szCs w:val="21"/>
              </w:rPr>
              <w:t>质量第一、客户至上</w:t>
            </w:r>
            <w:r>
              <w:rPr>
                <w:rFonts w:hint="eastAsia" w:cs="宋体" w:asciiTheme="minorEastAsia" w:hAnsiTheme="minorEastAsia" w:eastAsiaTheme="minorEastAsia"/>
                <w:szCs w:val="21"/>
                <w:lang w:val="en-US" w:eastAsia="zh-CN"/>
              </w:rPr>
              <w:t>，</w:t>
            </w:r>
            <w:r>
              <w:rPr>
                <w:rFonts w:ascii="Times New Roman" w:hAnsi="Times New Roman"/>
                <w:b/>
                <w:szCs w:val="21"/>
              </w:rPr>
              <w:t>诚信经营，持续改进</w:t>
            </w:r>
            <w:r>
              <w:rPr>
                <w:rFonts w:hint="eastAsia" w:cs="宋体" w:asciiTheme="minorEastAsia" w:hAnsiTheme="minorEastAsia" w:eastAsiaTheme="minorEastAsia"/>
                <w:szCs w:val="21"/>
                <w:lang w:val="en-US" w:eastAsia="zh-CN"/>
              </w:rPr>
              <w:t>。</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管理层已经宣布了组织的质量方针并进行了实施，它使所有员工负起持续改进质量管理体系的责任，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color w:val="auto"/>
              </w:rPr>
              <w:t>策划</w:t>
            </w:r>
          </w:p>
        </w:tc>
        <w:tc>
          <w:tcPr>
            <w:tcW w:w="8902"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法律法规日趋完善、市场监管严格：</w:t>
                  </w:r>
                </w:p>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风险：未能遵守相关法规、标准要求，导致被处罚、相关方投诉等；</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机遇：识别法规、标准要求，有效遵守法规。</w:t>
                  </w:r>
                </w:p>
              </w:tc>
              <w:tc>
                <w:tcPr>
                  <w:tcW w:w="3249" w:type="dxa"/>
                  <w:vAlign w:val="center"/>
                </w:tcPr>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1.识别法规、标准；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2.培训实施。</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环境/健康安全意识：</w:t>
                  </w:r>
                </w:p>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风险：随着生活水平提高，人们对环境/健康安全意识提升，社会对企业的要求高，环境污染/不安全等严重影响企业形象。</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机遇：提高环境/安全管理水平，提高企业社会形象。</w:t>
                  </w:r>
                </w:p>
              </w:tc>
              <w:tc>
                <w:tcPr>
                  <w:tcW w:w="3249" w:type="dxa"/>
                  <w:vAlign w:val="center"/>
                </w:tcPr>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1.导入环境/健康安全体系，并通过认证，以提高企业的社会形象。</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人员的流动、员工业务素质绩效考核：</w:t>
                  </w:r>
                </w:p>
                <w:p>
                  <w:pPr>
                    <w:keepNext w:val="0"/>
                    <w:keepLines w:val="0"/>
                    <w:widowControl/>
                    <w:suppressLineNumbers w:val="0"/>
                    <w:jc w:val="left"/>
                    <w:textAlignment w:val="center"/>
                    <w:rPr>
                      <w:rFonts w:hint="eastAsia"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风险：新引进的人员对公司情况不熟悉，工作效率、工作质量需要有一段时间去提升；                                                           机遇：对新员工加强培养，对稳定员工、提供员工工作积极性有很大帮助。</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1.各部门要及时关注员工的心理变换，创造良好的工作环境，提高员工的归属感；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2.综合部做好人员的储备，防止人员流失后给公司带来的风险；</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w:t>
                  </w:r>
                  <w:r>
                    <w:rPr>
                      <w:rFonts w:hint="eastAsia" w:ascii="华文细黑" w:hAnsi="华文细黑" w:eastAsia="华文细黑" w:cs="华文细黑"/>
                      <w:b w:val="0"/>
                      <w:bCs w:val="0"/>
                      <w:i w:val="0"/>
                      <w:iCs w:val="0"/>
                      <w:color w:val="000000"/>
                      <w:kern w:val="0"/>
                      <w:sz w:val="20"/>
                      <w:szCs w:val="20"/>
                      <w:u w:val="none"/>
                      <w:lang w:val="en-US" w:eastAsia="zh-CN" w:bidi="ar"/>
                    </w:rPr>
                    <w:t>各部门加强绩效考核的有效开展，通过考核促进员工的工作积极性，提高业务素质。</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信息交流：</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 xml:space="preserve">风险：                                                                                           </w:t>
                  </w:r>
                </w:p>
                <w:p>
                  <w:pPr>
                    <w:keepNext w:val="0"/>
                    <w:keepLines w:val="0"/>
                    <w:widowControl/>
                    <w:suppressLineNumbers w:val="0"/>
                    <w:jc w:val="left"/>
                    <w:textAlignment w:val="center"/>
                    <w:rPr>
                      <w:rFonts w:hint="eastAsia"/>
                      <w:lang w:val="en-US" w:eastAsia="zh-CN"/>
                    </w:rPr>
                  </w:pPr>
                  <w:r>
                    <w:rPr>
                      <w:rFonts w:hint="eastAsia" w:ascii="华文细黑" w:hAnsi="华文细黑" w:eastAsia="华文细黑" w:cs="华文细黑"/>
                      <w:i w:val="0"/>
                      <w:iCs w:val="0"/>
                      <w:color w:val="000000"/>
                      <w:kern w:val="0"/>
                      <w:sz w:val="20"/>
                      <w:szCs w:val="20"/>
                      <w:u w:val="none"/>
                      <w:lang w:val="en-US" w:eastAsia="zh-CN" w:bidi="ar"/>
                    </w:rPr>
                    <w:t>1.交流的对象不明确；                                                            2.交流的方法不当；                                                             3.交流未形成有效落实的方案。                                                   机遇：提高信息交流的效率和有效性，可提高工作的效率和工作质量</w:t>
                  </w:r>
                </w:p>
                <w:p>
                  <w:pPr>
                    <w:pStyle w:val="2"/>
                    <w:numPr>
                      <w:ilvl w:val="0"/>
                      <w:numId w:val="0"/>
                    </w:numPr>
                  </w:pPr>
                </w:p>
                <w:p>
                  <w:pPr>
                    <w:pStyle w:val="2"/>
                    <w:numPr>
                      <w:ilvl w:val="0"/>
                      <w:numId w:val="0"/>
                    </w:numPr>
                  </w:pP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1.建立有效的信息交流机制，以确保交流能够顺畅。                                                          2.配置适宜的信息交流设施，例如：网络、电话、传真等。                                              3.必要的信息在交流过程中做好记录并跟进交流结果。</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环境因素/危险源识别：</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风险：未能充分识别环境因素/危险源，造成未对环境因素/危险源进行控制。</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机遇：充分识别，系统控制，提高环境/健康安全管理水平。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1.识别环境因素/危险源，确定重要环境因素/危险源，制定控制措施和管理方案。</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应急响应：</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风险：应急响应措施不合理、未演练，紧急情况发生时未能有效处理。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机遇：提高响应能力，降低损失。</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1.制定火灾、工伤等应急预案；</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2.培训和演练、修订程序。</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纠正措施 ：</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风险：不符合原因分析和整改不彻底，造成重复发生。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机遇：提高改善能力，持续改善环境/健康安全管理水平。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1.制定纠正预防措施程序；</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2.培训实施。</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疫情防控</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                                                                                           1.疫情传染导致企业停工停产                                                            2.产品销路不足                                                                    3.增设人员管控疫情。                                                      机遇：客户积累，创新发展</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1.响应防控相关举措，积极应对新冠疫情。                                                          2.创新销路，多方位发展。                                              3.沉淀技术知识，提升产品质量。</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rPr>
                      <w:rFonts w:ascii="Times New Roman" w:hAnsi="Times New Roman" w:eastAsia="宋体" w:cs="Times New Roman"/>
                      <w:b/>
                      <w:sz w:val="18"/>
                      <w:szCs w:val="18"/>
                    </w:rPr>
                  </w:pPr>
                </w:p>
              </w:tc>
              <w:tc>
                <w:tcPr>
                  <w:tcW w:w="3249" w:type="dxa"/>
                  <w:vAlign w:val="center"/>
                </w:tcPr>
                <w:p>
                  <w:pPr>
                    <w:rPr>
                      <w:rFonts w:hint="default" w:eastAsia="宋体"/>
                      <w:sz w:val="18"/>
                      <w:szCs w:val="18"/>
                      <w:lang w:val="en-US" w:eastAsia="zh-CN"/>
                    </w:rPr>
                  </w:pPr>
                </w:p>
              </w:tc>
              <w:tc>
                <w:tcPr>
                  <w:tcW w:w="1717" w:type="dxa"/>
                </w:tcPr>
                <w:p>
                  <w:pPr>
                    <w:shd w:val="clear" w:color="auto" w:fill="C7DAF1" w:themeFill="text2" w:themeFillTint="32"/>
                    <w:rPr>
                      <w:rFonts w:hint="eastAsia"/>
                      <w:sz w:val="18"/>
                      <w:szCs w:val="18"/>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307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07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产品交付合格率100%；</w:t>
                  </w:r>
                </w:p>
                <w:p>
                  <w:pPr>
                    <w:shd w:val="clear" w:color="auto" w:fill="C7DAF1" w:themeFill="text2" w:themeFillTint="32"/>
                    <w:rPr>
                      <w:rFonts w:hint="eastAsia" w:ascii="Times New Roman" w:hAnsi="Times New Roman" w:eastAsia="宋体" w:cs="Times New Roman"/>
                      <w:lang w:val="en-US" w:eastAsia="zh-CN"/>
                    </w:rPr>
                  </w:pPr>
                </w:p>
              </w:tc>
              <w:tc>
                <w:tcPr>
                  <w:tcW w:w="3075"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交付合格数量/产品总数*100%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生产部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100</w:t>
                  </w: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52"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顾客满意率≥93%</w:t>
                  </w:r>
                </w:p>
                <w:p>
                  <w:pPr>
                    <w:shd w:val="clear" w:color="auto" w:fill="C7DAF1" w:themeFill="text2" w:themeFillTint="32"/>
                    <w:rPr>
                      <w:rFonts w:hint="eastAsia" w:ascii="Times New Roman" w:hAnsi="Times New Roman" w:eastAsia="宋体" w:cs="Times New Roman"/>
                      <w:lang w:val="en-US" w:eastAsia="zh-CN"/>
                    </w:rPr>
                  </w:pPr>
                </w:p>
              </w:tc>
              <w:tc>
                <w:tcPr>
                  <w:tcW w:w="3075"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总满意得分/调查客户数*100%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综合部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95%</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11"/>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restart"/>
            <w:shd w:val="clear" w:color="auto" w:fill="C7DAF1" w:themeFill="text2" w:themeFillTint="32"/>
          </w:tcPr>
          <w:p>
            <w:pPr>
              <w:shd w:val="clear" w:color="auto" w:fill="C7DAF1" w:themeFill="text2" w:themeFillTint="32"/>
            </w:pPr>
            <w:r>
              <w:rPr>
                <w:rFonts w:hint="eastAsia"/>
              </w:rPr>
              <w:t>支持</w:t>
            </w:r>
          </w:p>
        </w:tc>
        <w:tc>
          <w:tcPr>
            <w:tcW w:w="8902"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bottom w:val="nil"/>
            </w:tcBorders>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060" w:type="dxa"/>
            <w:vMerge w:val="continue"/>
            <w:tcBorders>
              <w:right w:val="single" w:color="auto" w:sz="4" w:space="0"/>
            </w:tcBorders>
            <w:shd w:val="clear" w:color="auto" w:fill="C7DAF1" w:themeFill="text2" w:themeFillTint="32"/>
          </w:tcPr>
          <w:p>
            <w:pPr>
              <w:shd w:val="clear" w:color="auto" w:fill="C7DAF1" w:themeFill="text2" w:themeFillTint="32"/>
            </w:pPr>
          </w:p>
        </w:tc>
        <w:tc>
          <w:tcPr>
            <w:tcW w:w="8902" w:type="dxa"/>
            <w:tcBorders>
              <w:top w:val="nil"/>
              <w:left w:val="single" w:color="auto" w:sz="4" w:space="0"/>
              <w:bottom w:val="nil"/>
              <w:right w:val="single" w:color="auto" w:sz="4" w:space="0"/>
            </w:tcBorders>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color w:val="auto"/>
              </w:rPr>
            </w:pPr>
            <w:r>
              <w:rPr>
                <w:rFonts w:hint="eastAsia"/>
                <w:color w:val="auto"/>
                <w:lang w:val="en-US" w:eastAsia="zh-CN"/>
              </w:rPr>
              <w:t xml:space="preserve">建筑面积 </w:t>
            </w:r>
            <w:r>
              <w:rPr>
                <w:rFonts w:hint="eastAsia"/>
                <w:color w:val="auto"/>
                <w:u w:val="single"/>
                <w:lang w:val="en-US" w:eastAsia="zh-CN"/>
              </w:rPr>
              <w:t xml:space="preserve">1200 </w:t>
            </w:r>
            <w:r>
              <w:rPr>
                <w:rFonts w:hint="eastAsia"/>
                <w:color w:val="auto"/>
                <w:lang w:val="en-US" w:eastAsia="zh-CN"/>
              </w:rPr>
              <w:t>平方米；生产车间</w:t>
            </w:r>
            <w:r>
              <w:rPr>
                <w:rFonts w:hint="eastAsia"/>
                <w:color w:val="auto"/>
                <w:u w:val="single"/>
                <w:lang w:val="en-US" w:eastAsia="zh-CN"/>
              </w:rPr>
              <w:t xml:space="preserve"> 1 </w:t>
            </w:r>
            <w:r>
              <w:rPr>
                <w:rFonts w:hint="eastAsia"/>
                <w:color w:val="auto"/>
                <w:lang w:val="en-US" w:eastAsia="zh-CN"/>
              </w:rPr>
              <w:t>个；仓储区</w:t>
            </w:r>
            <w:r>
              <w:rPr>
                <w:rFonts w:hint="eastAsia"/>
                <w:color w:val="auto"/>
                <w:u w:val="single"/>
                <w:lang w:val="en-US" w:eastAsia="zh-CN"/>
              </w:rPr>
              <w:t xml:space="preserve"> 1 </w:t>
            </w:r>
            <w:r>
              <w:rPr>
                <w:rFonts w:hint="eastAsia"/>
                <w:color w:val="auto"/>
                <w:lang w:val="en-US" w:eastAsia="zh-CN"/>
              </w:rPr>
              <w:t>个</w:t>
            </w:r>
            <w:r>
              <w:rPr>
                <w:rFonts w:hint="eastAsia"/>
                <w:color w:val="auto"/>
              </w:rPr>
              <w:t>；</w:t>
            </w:r>
            <w:r>
              <w:rPr>
                <w:rFonts w:hint="eastAsia"/>
                <w:color w:val="auto"/>
                <w:lang w:val="en-US" w:eastAsia="zh-CN"/>
              </w:rPr>
              <w:t>办公区</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w:t>
            </w:r>
          </w:p>
          <w:p>
            <w:pPr>
              <w:shd w:val="clear" w:color="auto" w:fill="C7DAF1" w:themeFill="text2" w:themeFillTint="32"/>
              <w:rPr>
                <w:u w:val="single"/>
              </w:rPr>
            </w:pPr>
            <w:r>
              <w:rPr>
                <w:rFonts w:hint="eastAsia"/>
              </w:rPr>
              <w:t>主要生产设备有：</w:t>
            </w:r>
            <w:r>
              <w:rPr>
                <w:rFonts w:hint="eastAsia" w:ascii="Times New Roman" w:hAnsi="Times New Roman" w:cs="Times New Roman"/>
                <w:u w:val="single"/>
                <w:lang w:val="en-US" w:eastAsia="zh-CN"/>
              </w:rPr>
              <w:t xml:space="preserve"> </w:t>
            </w:r>
            <w:r>
              <w:rPr>
                <w:rFonts w:ascii="宋体" w:hAnsi="宋体" w:cs="Arial"/>
                <w:szCs w:val="21"/>
                <w:u w:val="single"/>
              </w:rPr>
              <w:t>卧式打包机、缠绕包装机、抓草机</w:t>
            </w:r>
            <w:r>
              <w:rPr>
                <w:rFonts w:hint="eastAsia"/>
                <w:u w:val="single"/>
                <w:lang w:val="en-US" w:eastAsia="zh-CN"/>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lang w:val="en-US" w:eastAsia="zh-CN"/>
              </w:rPr>
              <w:t xml:space="preserve">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top w:val="nil"/>
            </w:tcBorders>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lang w:val="en-US" w:eastAsia="zh-CN"/>
              </w:rPr>
              <w:t xml:space="preserve">  本公司无，需要用</w:t>
            </w:r>
            <w:r>
              <w:rPr>
                <w:szCs w:val="22"/>
                <w:u w:val="single"/>
              </w:rPr>
              <w:t>磅称、地称，根据产生和转运接收废弃物公司要求需要在其现场或指定地点地称完成称量，双方现场确认重量，所以本公司未配备，由相关方保证称的精准性，按期检定。</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未进行定期校准/检定的有：</w:t>
            </w:r>
            <w:r>
              <w:rPr>
                <w:rFonts w:hint="eastAsia"/>
                <w:u w:val="single"/>
              </w:rPr>
              <w:t xml:space="preserve">  </w:t>
            </w:r>
            <w:r>
              <w:rPr>
                <w:rFonts w:hint="eastAsia"/>
                <w:u w:val="single"/>
                <w:lang w:val="en-US" w:eastAsia="zh-CN"/>
              </w:rPr>
              <w:t xml:space="preserve">      </w:t>
            </w:r>
            <w:r>
              <w:rPr>
                <w:rFonts w:hint="eastAsia"/>
                <w:color w:val="auto"/>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restart"/>
            <w:shd w:val="clear" w:color="auto" w:fill="C7DAF1" w:themeFill="text2" w:themeFillTint="32"/>
          </w:tcPr>
          <w:p>
            <w:pPr>
              <w:shd w:val="clear" w:color="auto" w:fill="C7DAF1" w:themeFill="text2" w:themeFillTint="32"/>
            </w:pPr>
            <w:r>
              <w:rPr>
                <w:rFonts w:hint="eastAsia"/>
              </w:rPr>
              <w:t>运行</w:t>
            </w:r>
          </w:p>
        </w:tc>
        <w:tc>
          <w:tcPr>
            <w:tcW w:w="8902"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认证范围内每种产品/服务流程的关键过程及控制参数：</w:t>
            </w:r>
          </w:p>
          <w:tbl>
            <w:tblPr>
              <w:tblStyle w:val="7"/>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color w:val="auto"/>
                      <w:lang w:val="en-US" w:eastAsia="zh-CN" w:bidi="ar"/>
                    </w:rPr>
                    <w:t>产品</w:t>
                  </w:r>
                  <w:r>
                    <w:rPr>
                      <w:rStyle w:val="25"/>
                      <w:rFonts w:eastAsia="宋体"/>
                      <w:color w:val="auto"/>
                      <w:lang w:val="en-US" w:eastAsia="zh-CN" w:bidi="ar"/>
                    </w:rPr>
                    <w:t>/</w:t>
                  </w:r>
                  <w:r>
                    <w:rPr>
                      <w:rStyle w:val="24"/>
                      <w:color w:val="auto"/>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rPr>
                  </w:pPr>
                  <w:r>
                    <w:rPr>
                      <w:sz w:val="20"/>
                    </w:rPr>
                    <w:t>一般工业固体废物的治理</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sz w:val="20"/>
                    </w:rPr>
                    <w:t>一般工业固体废弃物分类</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分类准确、</w:t>
                  </w:r>
                  <w:r>
                    <w:rPr>
                      <w:rFonts w:hint="eastAsia"/>
                      <w:szCs w:val="21"/>
                    </w:rPr>
                    <w:t>杂质含量不应超过3%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sz w:val="20"/>
                    </w:rPr>
                    <w:t>转运过程</w:t>
                  </w:r>
                </w:p>
              </w:tc>
              <w:tc>
                <w:tcPr>
                  <w:tcW w:w="602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由有资质的运输服务方负责转运；</w:t>
                  </w:r>
                </w:p>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采用电厂焚烧或填埋或再利用合法合规处理；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c>
                <w:tcPr>
                  <w:tcW w:w="6026" w:type="dxa"/>
                  <w:tcBorders>
                    <w:top w:val="nil"/>
                    <w:left w:val="single" w:color="000000" w:sz="8" w:space="0"/>
                    <w:bottom w:val="single" w:color="000000" w:sz="8" w:space="0"/>
                    <w:right w:val="single" w:color="000000" w:sz="8" w:space="0"/>
                  </w:tcBorders>
                  <w:shd w:val="clear" w:color="auto" w:fill="auto"/>
                  <w:vAlign w:val="top"/>
                </w:tcPr>
                <w:p>
                  <w:pPr>
                    <w:pStyle w:val="2"/>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r>
          </w:tbl>
          <w:p>
            <w:pPr>
              <w:pStyle w:val="11"/>
              <w:rPr>
                <w:rFonts w:hint="eastAsia" w:eastAsia="宋体"/>
                <w:lang w:eastAsia="zh-CN"/>
              </w:rPr>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不适用，不存在需要确认过程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■容器编号 ■人员编号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绩效评价</w:t>
            </w:r>
          </w:p>
        </w:tc>
        <w:tc>
          <w:tcPr>
            <w:tcW w:w="8902"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改进</w:t>
            </w:r>
          </w:p>
        </w:tc>
        <w:tc>
          <w:tcPr>
            <w:tcW w:w="8902"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shd w:val="clear" w:color="auto" w:fill="C7DAF1" w:themeFill="text2" w:themeFillTint="32"/>
      </w:pPr>
    </w:p>
    <w:p>
      <w:pPr>
        <w:shd w:val="clear" w:color="auto" w:fill="C7DAF1" w:themeFill="text2"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pStyle w:val="2"/>
      </w:pPr>
    </w:p>
    <w:p>
      <w:pPr>
        <w:pStyle w:val="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组织运用生命周期观点明确相关环境管理体系的范围；（详见第二条款审核范围）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highlight w:val="none"/>
              </w:rPr>
              <w:t>已将环境管理体系要求融入到其各项业务过程中，包括：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□设计和开发 ■采购 ■人力资源■营销和市场  ■生产 ■检验 □仓库管理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■节约能源  ■节约资源 ■达标排放 ■消防控制 □危化品管理 □特种设备管理 </w:t>
            </w:r>
          </w:p>
          <w:p>
            <w:pPr>
              <w:shd w:val="clear" w:color="auto" w:fill="EBF1DE" w:themeFill="accent3" w:themeFillTint="32"/>
              <w:spacing w:before="40" w:after="40"/>
              <w:rPr>
                <w:highlight w:val="none"/>
              </w:rPr>
            </w:pPr>
            <w:r>
              <w:rPr>
                <w:rFonts w:hint="eastAsia"/>
                <w:highlight w:val="none"/>
              </w:rPr>
              <w:t>■环评三同时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 xml:space="preserve">）  </w:t>
            </w:r>
          </w:p>
          <w:p>
            <w:pPr>
              <w:shd w:val="clear" w:color="auto" w:fill="EBF1DE" w:themeFill="accent3" w:themeFillTint="32"/>
              <w:spacing w:before="40" w:after="40"/>
              <w:rPr>
                <w:highlight w:val="none"/>
              </w:rPr>
            </w:pPr>
            <w:r>
              <w:rPr>
                <w:rFonts w:hint="eastAsia"/>
                <w:highlight w:val="none"/>
              </w:rPr>
              <w:t>□危险废物处置 □消防检测 □生产/服务过程 环保监测 ■产品运输 □设备维修</w:t>
            </w:r>
          </w:p>
          <w:p>
            <w:pPr>
              <w:shd w:val="clear" w:color="auto" w:fill="EBF1DE" w:themeFill="accent3" w:themeFillTint="32"/>
              <w:spacing w:before="40" w:after="40"/>
              <w:rPr>
                <w:highlight w:val="none"/>
              </w:rPr>
            </w:pPr>
            <w:r>
              <w:rPr>
                <w:rFonts w:hint="eastAsia"/>
                <w:highlight w:val="none"/>
              </w:rPr>
              <w:t xml:space="preserve">□人员培训 □其他  </w:t>
            </w:r>
            <w:r>
              <w:rPr>
                <w:rFonts w:hint="eastAsia"/>
                <w:b/>
                <w:bCs/>
                <w:highlight w:val="none"/>
                <w:lang w:val="en-GB"/>
              </w:rPr>
              <w:t xml:space="preserve"> </w:t>
            </w:r>
          </w:p>
          <w:p>
            <w:pPr>
              <w:shd w:val="clear" w:color="auto" w:fill="EBF1DE" w:themeFill="accent3" w:themeFillTint="32"/>
              <w:rPr>
                <w:highlight w:val="none"/>
              </w:rPr>
            </w:pPr>
            <w:r>
              <w:rPr>
                <w:rFonts w:hint="eastAsia"/>
                <w:highlight w:val="none"/>
                <w:lang w:val="en-GB"/>
              </w:rPr>
              <w:t>组织通过</w:t>
            </w:r>
            <w:r>
              <w:rPr>
                <w:rFonts w:hint="eastAsia"/>
                <w:highlight w:val="none"/>
              </w:rPr>
              <w:t>环境</w:t>
            </w:r>
            <w:r>
              <w:rPr>
                <w:rFonts w:hint="eastAsia"/>
                <w:highlight w:val="none"/>
                <w:lang w:val="en-GB"/>
              </w:rPr>
              <w:t>目标的建立、实施、</w:t>
            </w:r>
            <w:r>
              <w:rPr>
                <w:rFonts w:hint="eastAsia"/>
                <w:highlight w:val="none"/>
              </w:rPr>
              <w:t>相关方反馈</w:t>
            </w:r>
            <w:r>
              <w:rPr>
                <w:rFonts w:hint="eastAsia"/>
                <w:highlight w:val="none"/>
                <w:lang w:val="en-GB"/>
              </w:rPr>
              <w:t>、内审和管理评审等方式，充分地</w:t>
            </w:r>
            <w:r>
              <w:rPr>
                <w:rFonts w:hint="eastAsia"/>
                <w:highlight w:val="none"/>
              </w:rPr>
              <w:t>评审，管理及</w:t>
            </w:r>
            <w:r>
              <w:rPr>
                <w:rFonts w:hint="eastAsia"/>
                <w:highlight w:val="none"/>
                <w:lang w:val="en-GB"/>
              </w:rPr>
              <w:t>控制这些</w:t>
            </w:r>
            <w:r>
              <w:rPr>
                <w:rFonts w:hint="eastAsia"/>
                <w:highlight w:val="none"/>
              </w:rPr>
              <w:t>环境管理体系覆盖的过程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280" w:lineRule="exact"/>
              <w:ind w:firstLine="420" w:firstLineChars="200"/>
              <w:rPr>
                <w:rFonts w:hint="eastAsia" w:cs="宋体" w:asciiTheme="minorEastAsia" w:hAnsiTheme="minorEastAsia" w:eastAsiaTheme="minorEastAsia"/>
                <w:szCs w:val="21"/>
                <w:lang w:val="en-US" w:eastAsia="zh-CN"/>
              </w:rPr>
            </w:pPr>
            <w:r>
              <w:rPr>
                <w:rFonts w:hint="eastAsia"/>
              </w:rPr>
              <w:t>最高管理者制定了文件化的管理体系方针：</w:t>
            </w:r>
          </w:p>
          <w:p>
            <w:pPr>
              <w:shd w:val="clear" w:color="auto" w:fill="EBF1DE" w:themeFill="accent3" w:themeFillTint="32"/>
              <w:ind w:firstLine="420" w:firstLineChars="200"/>
              <w:rPr>
                <w:rFonts w:hint="eastAsia"/>
                <w:lang w:val="en-GB"/>
              </w:rPr>
            </w:pPr>
            <w:r>
              <w:rPr>
                <w:rFonts w:hint="eastAsia"/>
                <w:lang w:val="en-GB"/>
              </w:rPr>
              <w:t>保护环境，诚信守法，珍惜资源，持续发展；</w:t>
            </w:r>
          </w:p>
          <w:p>
            <w:pPr>
              <w:shd w:val="clear" w:color="auto" w:fill="EBF1DE" w:themeFill="accent3" w:themeFillTint="32"/>
              <w:ind w:firstLine="420" w:firstLineChars="200"/>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1.生产销售服务发生变化时，环境因素危险源未及时更新</w:t>
                  </w:r>
                </w:p>
              </w:tc>
              <w:tc>
                <w:tcPr>
                  <w:tcW w:w="3965" w:type="dxa"/>
                  <w:vAlign w:val="center"/>
                </w:tcPr>
                <w:p>
                  <w:pPr>
                    <w:rPr>
                      <w:rFonts w:ascii="宋体" w:hAnsi="宋体" w:cs="宋体"/>
                      <w:sz w:val="20"/>
                      <w:szCs w:val="20"/>
                    </w:rPr>
                  </w:pPr>
                  <w:r>
                    <w:rPr>
                      <w:rFonts w:hint="eastAsia"/>
                      <w:sz w:val="20"/>
                      <w:szCs w:val="20"/>
                    </w:rPr>
                    <w:t>环境因素危险源识别与评价管理中明确环境因素危险源明确评价及更新的时机:每年一次评审、生产活动和服务有增减时</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2.重要环境因素危险源识别错误,漏识别或多识别</w:t>
                  </w:r>
                </w:p>
              </w:tc>
              <w:tc>
                <w:tcPr>
                  <w:tcW w:w="3965" w:type="dxa"/>
                  <w:vAlign w:val="center"/>
                </w:tcPr>
                <w:p>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 xml:space="preserve">能源消耗 </w:t>
            </w:r>
            <w:r>
              <w:rPr>
                <w:rFonts w:hint="eastAsia"/>
                <w:lang w:val="en-US" w:eastAsia="zh-CN"/>
              </w:rPr>
              <w:t xml:space="preserve"> </w:t>
            </w:r>
            <w:r>
              <w:rPr>
                <w:rFonts w:hint="eastAsia"/>
              </w:rPr>
              <w:t>■资源消耗</w:t>
            </w:r>
            <w:r>
              <w:rPr>
                <w:rFonts w:hint="eastAsia"/>
                <w:lang w:val="en-US" w:eastAsia="zh-CN"/>
              </w:rPr>
              <w:t xml:space="preserve">  </w:t>
            </w:r>
            <w:r>
              <w:rPr>
                <w:rFonts w:hint="eastAsia"/>
              </w:rPr>
              <w:t xml:space="preserve">■废水排放  </w:t>
            </w:r>
            <w:r>
              <w:rPr>
                <w:rFonts w:hint="eastAsia"/>
              </w:rPr>
              <w:sym w:font="Wingdings 2" w:char="00A3"/>
            </w:r>
            <w:r>
              <w:rPr>
                <w:rFonts w:hint="eastAsia"/>
              </w:rPr>
              <w:t xml:space="preserve">废气排放  □粉尘排放  ■固废排放 ■噪声排放  </w:t>
            </w:r>
            <w:r>
              <w:rPr>
                <w:rFonts w:hint="eastAsia"/>
              </w:rPr>
              <w:sym w:font="Wingdings 2" w:char="00A3"/>
            </w:r>
            <w:r>
              <w:rPr>
                <w:rFonts w:hint="eastAsia"/>
              </w:rPr>
              <w:t>化学品泄露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w:t>
            </w:r>
            <w:r>
              <w:rPr>
                <w:color w:val="auto"/>
              </w:rPr>
              <w:t>理体系时必须考虑这些合规义务。</w:t>
            </w:r>
          </w:p>
          <w:p>
            <w:pPr>
              <w:shd w:val="clear" w:color="auto" w:fill="EBF1DE" w:themeFill="accent3" w:themeFillTint="32"/>
              <w:rPr>
                <w:rFonts w:hint="default"/>
                <w:lang w:val="en-US" w:eastAsia="zh-CN"/>
              </w:rPr>
            </w:pPr>
            <w:r>
              <w:t>组织</w:t>
            </w:r>
            <w:r>
              <w:rPr>
                <w:rFonts w:hint="eastAsia"/>
              </w:rPr>
              <w:t>提供了</w:t>
            </w:r>
            <w:r>
              <w:t>下列许可和授权(必要时，按每个场所来描述):</w:t>
            </w:r>
            <w:r>
              <w:rPr>
                <w:rFonts w:hint="eastAsia"/>
                <w:lang w:val="en-US" w:eastAsia="zh-CN"/>
              </w:rPr>
              <w:t xml:space="preserve"> </w:t>
            </w:r>
          </w:p>
          <w:p>
            <w:pPr>
              <w:shd w:val="clear" w:color="auto" w:fill="EBF1DE" w:themeFill="accent3" w:themeFillTint="32"/>
            </w:pPr>
            <w:r>
              <w:rPr>
                <w:rFonts w:hint="eastAsia"/>
              </w:rPr>
              <w:t>□安全生产许可证编号：</w:t>
            </w:r>
            <w:r>
              <w:rPr>
                <w:rFonts w:hint="eastAsia"/>
                <w:u w:val="single"/>
              </w:rPr>
              <w:t xml:space="preserve">    </w:t>
            </w:r>
            <w:r>
              <w:rPr>
                <w:rFonts w:hint="eastAsia"/>
                <w:u w:val="single"/>
                <w:lang w:val="en-US" w:eastAsia="zh-CN"/>
              </w:rPr>
              <w:t xml:space="preserve">            </w:t>
            </w:r>
            <w:r>
              <w:rPr>
                <w:rFonts w:hint="eastAsia"/>
                <w:szCs w:val="18"/>
                <w:highlight w:val="none"/>
                <w:u w:val="single"/>
              </w:rPr>
              <w:t xml:space="preserve">   </w:t>
            </w:r>
            <w:r>
              <w:rPr>
                <w:rFonts w:hint="eastAsia"/>
              </w:rPr>
              <w:t xml:space="preserve">                   </w:t>
            </w:r>
          </w:p>
          <w:p>
            <w:pPr>
              <w:rPr>
                <w:rFonts w:hint="default" w:eastAsia="宋体"/>
                <w:szCs w:val="18"/>
                <w:highlight w:val="none"/>
                <w:u w:val="single"/>
                <w:lang w:val="en-US" w:eastAsia="zh-CN"/>
              </w:rPr>
            </w:pPr>
            <w:r>
              <w:rPr>
                <w:rFonts w:hint="eastAsia"/>
              </w:rPr>
              <w:t xml:space="preserve">■排污许可证编号： </w:t>
            </w:r>
            <w:r>
              <w:rPr>
                <w:rFonts w:hint="eastAsia"/>
                <w:u w:val="single"/>
              </w:rPr>
              <w:t xml:space="preserve"> </w:t>
            </w:r>
            <w:r>
              <w:rPr>
                <w:rFonts w:hint="eastAsia"/>
                <w:u w:val="single"/>
                <w:lang w:val="en-US" w:eastAsia="zh-CN"/>
              </w:rPr>
              <w:t xml:space="preserve">   91370281MA3MLRPF2W001X     </w:t>
            </w:r>
          </w:p>
          <w:p>
            <w:r>
              <w:rPr>
                <w:rFonts w:hint="eastAsia"/>
                <w:szCs w:val="18"/>
                <w:highlight w:val="none"/>
              </w:rPr>
              <w:t>有效期：</w:t>
            </w:r>
            <w:r>
              <w:rPr>
                <w:rFonts w:hint="eastAsia"/>
                <w:szCs w:val="18"/>
                <w:highlight w:val="none"/>
                <w:u w:val="single"/>
                <w:lang w:val="en-US" w:eastAsia="zh-CN"/>
              </w:rPr>
              <w:t xml:space="preserve">   </w:t>
            </w:r>
            <w:r>
              <w:rPr>
                <w:rFonts w:hint="eastAsia"/>
                <w:u w:val="single"/>
                <w:lang w:val="en-US" w:eastAsia="zh-CN"/>
              </w:rPr>
              <w:t>2020.7.27--2025.7.26</w:t>
            </w:r>
            <w:r>
              <w:rPr>
                <w:rFonts w:hint="eastAsia"/>
                <w:u w:val="single"/>
              </w:rPr>
              <w:t xml:space="preserve"> </w:t>
            </w:r>
            <w:r>
              <w:rPr>
                <w:rFonts w:hint="eastAsia"/>
                <w:szCs w:val="18"/>
                <w:highlight w:val="none"/>
                <w:u w:val="single"/>
                <w:lang w:val="en-US" w:eastAsia="zh-CN"/>
              </w:rPr>
              <w:t xml:space="preserve">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 xml:space="preserve">    2020.6 </w:t>
            </w:r>
            <w:r>
              <w:rPr>
                <w:rFonts w:hint="eastAsia"/>
                <w:u w:val="single"/>
              </w:rPr>
              <w:t xml:space="preserve">    </w:t>
            </w:r>
            <w:r>
              <w:rPr>
                <w:rFonts w:hint="eastAsia"/>
                <w:u w:val="single"/>
                <w:lang w:val="en-US" w:eastAsia="zh-CN"/>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t>■环境影响报告表日期：</w:t>
            </w:r>
            <w:r>
              <w:rPr>
                <w:rFonts w:hint="eastAsia"/>
                <w:u w:val="single"/>
              </w:rPr>
              <w:t xml:space="preserve">    </w:t>
            </w:r>
            <w:r>
              <w:rPr>
                <w:rFonts w:hint="eastAsia"/>
                <w:u w:val="single"/>
                <w:lang w:val="en-US" w:eastAsia="zh-CN"/>
              </w:rPr>
              <w:t xml:space="preserve">  2020.7.3         </w:t>
            </w:r>
            <w:bookmarkStart w:id="33" w:name="_GoBack"/>
            <w:bookmarkEnd w:id="33"/>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lang w:val="en-US" w:eastAsia="zh-CN"/>
              </w:rPr>
              <w:t xml:space="preserve">                    </w:t>
            </w:r>
            <w:r>
              <w:rPr>
                <w:rFonts w:hint="eastAsia"/>
                <w:u w:val="single"/>
              </w:rPr>
              <w:t xml:space="preserve"> </w:t>
            </w:r>
          </w:p>
          <w:p>
            <w:pPr>
              <w:shd w:val="clear" w:color="auto" w:fill="EBF1DE" w:themeFill="accent3" w:themeFillTint="32"/>
              <w:rPr>
                <w:highlight w:val="cyan"/>
              </w:rPr>
            </w:pPr>
            <w:r>
              <w:rPr>
                <w:rFonts w:hint="eastAsia"/>
              </w:rPr>
              <w:sym w:font="Wingdings 2" w:char="00A3"/>
            </w: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highlight w:val="none"/>
              </w:rPr>
            </w:pPr>
            <w:r>
              <w:rPr>
                <w:rFonts w:hint="eastAsia"/>
                <w:highlight w:val="none"/>
              </w:rPr>
              <w:t>环境总目标实现情况的评价，及</w:t>
            </w:r>
            <w:r>
              <w:rPr>
                <w:rFonts w:hint="eastAsia"/>
                <w:color w:val="auto"/>
                <w:highlight w:val="none"/>
              </w:rPr>
              <w:t>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4854"/>
              <w:gridCol w:w="115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8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270" w:type="dxa"/>
                  <w:shd w:val="clear" w:color="auto" w:fill="auto"/>
                </w:tcPr>
                <w:p>
                  <w:pPr>
                    <w:shd w:val="clear" w:color="auto" w:fill="EBF1DE" w:themeFill="accent3" w:themeFillTint="32"/>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shd w:val="clear" w:color="auto" w:fill="auto"/>
                  <w:vAlign w:val="center"/>
                </w:tcPr>
                <w:p>
                  <w:pPr>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重大火灾事故为零</w:t>
                  </w:r>
                </w:p>
              </w:tc>
              <w:tc>
                <w:tcPr>
                  <w:tcW w:w="4854" w:type="dxa"/>
                  <w:shd w:val="clear" w:color="auto" w:fill="auto"/>
                  <w:vAlign w:val="center"/>
                </w:tcPr>
                <w:p>
                  <w:pPr>
                    <w:numPr>
                      <w:ilvl w:val="0"/>
                      <w:numId w:val="2"/>
                    </w:numPr>
                    <w:tabs>
                      <w:tab w:val="left" w:pos="432"/>
                      <w:tab w:val="clear" w:pos="720"/>
                    </w:tabs>
                    <w:spacing w:line="280" w:lineRule="exact"/>
                    <w:ind w:left="14" w:hanging="14"/>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加强中员工安全教育。</w:t>
                  </w:r>
                </w:p>
                <w:p>
                  <w:pPr>
                    <w:numPr>
                      <w:ilvl w:val="0"/>
                      <w:numId w:val="2"/>
                    </w:numPr>
                    <w:tabs>
                      <w:tab w:val="left" w:pos="432"/>
                      <w:tab w:val="clear" w:pos="720"/>
                    </w:tabs>
                    <w:spacing w:line="280" w:lineRule="exact"/>
                    <w:ind w:left="14" w:hanging="14"/>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加强用电用火的管理。</w:t>
                  </w:r>
                </w:p>
                <w:p>
                  <w:pPr>
                    <w:numPr>
                      <w:ilvl w:val="0"/>
                      <w:numId w:val="2"/>
                    </w:numPr>
                    <w:tabs>
                      <w:tab w:val="left" w:pos="197"/>
                      <w:tab w:val="left" w:pos="253"/>
                      <w:tab w:val="left" w:pos="303"/>
                      <w:tab w:val="clear" w:pos="720"/>
                    </w:tabs>
                    <w:spacing w:line="360" w:lineRule="auto"/>
                    <w:ind w:left="14" w:leftChars="0" w:hanging="14" w:firstLineChars="0"/>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定期进行应急预案的管理。</w:t>
                  </w:r>
                </w:p>
              </w:tc>
              <w:tc>
                <w:tcPr>
                  <w:tcW w:w="1150" w:type="dxa"/>
                  <w:shd w:val="clear" w:color="auto" w:fill="auto"/>
                  <w:vAlign w:val="center"/>
                </w:tcPr>
                <w:p>
                  <w:pPr>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综合部</w:t>
                  </w:r>
                </w:p>
              </w:tc>
              <w:tc>
                <w:tcPr>
                  <w:tcW w:w="1270" w:type="dxa"/>
                  <w:shd w:val="clear" w:color="auto" w:fill="auto"/>
                </w:tcPr>
                <w:p>
                  <w:pPr>
                    <w:pStyle w:val="22"/>
                    <w:jc w:val="left"/>
                    <w:rPr>
                      <w:rFonts w:hint="eastAsia" w:ascii="宋体" w:hAnsi="宋体" w:eastAsiaTheme="minorEastAsia" w:cstheme="minorBidi"/>
                      <w:bCs/>
                      <w:color w:val="000000"/>
                      <w:kern w:val="2"/>
                      <w:sz w:val="21"/>
                      <w:szCs w:val="21"/>
                      <w:lang w:val="en-US" w:eastAsia="zh-CN" w:bidi="ar-SA"/>
                    </w:rPr>
                  </w:pPr>
                </w:p>
                <w:p>
                  <w:pPr>
                    <w:pStyle w:val="22"/>
                    <w:jc w:val="left"/>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shd w:val="clear" w:color="auto" w:fill="auto"/>
                  <w:vAlign w:val="center"/>
                </w:tcPr>
                <w:p>
                  <w:pPr>
                    <w:spacing w:line="400" w:lineRule="exact"/>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境污染事故为零</w:t>
                  </w:r>
                </w:p>
              </w:tc>
              <w:tc>
                <w:tcPr>
                  <w:tcW w:w="4854" w:type="dxa"/>
                  <w:shd w:val="clear" w:color="auto" w:fill="auto"/>
                  <w:vAlign w:val="center"/>
                </w:tcPr>
                <w:p>
                  <w:pPr>
                    <w:tabs>
                      <w:tab w:val="left" w:pos="432"/>
                    </w:tabs>
                    <w:spacing w:line="280" w:lineRule="exact"/>
                    <w:ind w:left="14"/>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1、加强员工环保教育。</w:t>
                  </w:r>
                </w:p>
                <w:p>
                  <w:pPr>
                    <w:tabs>
                      <w:tab w:val="left" w:pos="432"/>
                    </w:tabs>
                    <w:spacing w:line="280" w:lineRule="exact"/>
                    <w:ind w:left="14"/>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2、加强用水用电的管理。</w:t>
                  </w:r>
                </w:p>
                <w:p>
                  <w:pPr>
                    <w:spacing w:line="360" w:lineRule="auto"/>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3、定期检查考核。</w:t>
                  </w:r>
                </w:p>
              </w:tc>
              <w:tc>
                <w:tcPr>
                  <w:tcW w:w="1150" w:type="dxa"/>
                  <w:shd w:val="clear" w:color="auto" w:fill="auto"/>
                  <w:vAlign w:val="center"/>
                </w:tcPr>
                <w:p>
                  <w:pPr>
                    <w:jc w:val="center"/>
                    <w:rPr>
                      <w:rFonts w:hint="default"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各部门</w:t>
                  </w:r>
                </w:p>
              </w:tc>
              <w:tc>
                <w:tcPr>
                  <w:tcW w:w="1270" w:type="dxa"/>
                  <w:shd w:val="clear" w:color="auto" w:fill="auto"/>
                </w:tcPr>
                <w:p>
                  <w:pPr>
                    <w:pStyle w:val="22"/>
                    <w:jc w:val="left"/>
                    <w:rPr>
                      <w:rFonts w:hint="default" w:ascii="宋体" w:hAnsi="宋体" w:eastAsiaTheme="minorEastAsia" w:cstheme="minorBidi"/>
                      <w:bCs/>
                      <w:color w:val="000000"/>
                      <w:kern w:val="2"/>
                      <w:sz w:val="21"/>
                      <w:szCs w:val="21"/>
                      <w:lang w:val="en-US" w:eastAsia="zh-CN" w:bidi="ar-SA"/>
                    </w:rPr>
                  </w:pPr>
                  <w:r>
                    <w:rPr>
                      <w:rFonts w:hint="eastAsia" w:ascii="宋体" w:hAnsi="宋体" w:cstheme="minorBidi"/>
                      <w:bCs/>
                      <w:color w:val="000000"/>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shd w:val="clear" w:color="auto" w:fill="auto"/>
                  <w:vAlign w:val="center"/>
                </w:tcPr>
                <w:p>
                  <w:pPr>
                    <w:spacing w:line="400" w:lineRule="exact"/>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危险固废合规处置率100%</w:t>
                  </w:r>
                </w:p>
              </w:tc>
              <w:tc>
                <w:tcPr>
                  <w:tcW w:w="4854" w:type="dxa"/>
                  <w:shd w:val="clear" w:color="auto" w:fill="auto"/>
                  <w:vAlign w:val="center"/>
                </w:tcPr>
                <w:p>
                  <w:pPr>
                    <w:numPr>
                      <w:ilvl w:val="0"/>
                      <w:numId w:val="3"/>
                    </w:numPr>
                    <w:tabs>
                      <w:tab w:val="left" w:pos="432"/>
                    </w:tabs>
                    <w:spacing w:line="280" w:lineRule="exact"/>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加强员工的环评教育</w:t>
                  </w:r>
                </w:p>
                <w:p>
                  <w:pPr>
                    <w:numPr>
                      <w:ilvl w:val="0"/>
                      <w:numId w:val="3"/>
                    </w:numPr>
                    <w:tabs>
                      <w:tab w:val="left" w:pos="432"/>
                    </w:tabs>
                    <w:spacing w:line="280" w:lineRule="exact"/>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实施垃圾分类处理</w:t>
                  </w:r>
                </w:p>
                <w:p>
                  <w:pPr>
                    <w:spacing w:line="360" w:lineRule="auto"/>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3、与供方或收购、处理商签订协议，按要求处置</w:t>
                  </w:r>
                </w:p>
              </w:tc>
              <w:tc>
                <w:tcPr>
                  <w:tcW w:w="1150" w:type="dxa"/>
                  <w:shd w:val="clear" w:color="auto" w:fill="auto"/>
                  <w:vAlign w:val="center"/>
                </w:tcPr>
                <w:p>
                  <w:pPr>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各部门</w:t>
                  </w:r>
                </w:p>
              </w:tc>
              <w:tc>
                <w:tcPr>
                  <w:tcW w:w="1270" w:type="dxa"/>
                  <w:shd w:val="clear" w:color="auto" w:fill="auto"/>
                </w:tcPr>
                <w:p>
                  <w:pPr>
                    <w:pStyle w:val="22"/>
                    <w:jc w:val="left"/>
                    <w:rPr>
                      <w:rFonts w:hint="eastAsia" w:ascii="宋体" w:hAnsi="宋体" w:eastAsiaTheme="minorEastAsia" w:cstheme="minorBidi"/>
                      <w:bCs/>
                      <w:color w:val="000000"/>
                      <w:kern w:val="2"/>
                      <w:sz w:val="21"/>
                      <w:szCs w:val="21"/>
                      <w:lang w:val="en-US" w:eastAsia="zh-CN" w:bidi="ar-SA"/>
                    </w:rPr>
                  </w:pPr>
                </w:p>
                <w:p>
                  <w:pPr>
                    <w:pStyle w:val="22"/>
                    <w:jc w:val="left"/>
                    <w:rPr>
                      <w:rFonts w:hint="eastAsia" w:ascii="宋体" w:hAnsi="宋体" w:eastAsiaTheme="minorEastAsia" w:cstheme="minorBidi"/>
                      <w:bCs/>
                      <w:color w:val="000000"/>
                      <w:kern w:val="2"/>
                      <w:sz w:val="21"/>
                      <w:szCs w:val="21"/>
                      <w:lang w:val="en-US" w:eastAsia="zh-CN" w:bidi="ar-SA"/>
                    </w:rPr>
                  </w:pPr>
                  <w:r>
                    <w:rPr>
                      <w:rFonts w:hint="eastAsia" w:ascii="宋体" w:hAnsi="宋体" w:eastAsiaTheme="minorEastAsia" w:cstheme="minorBidi"/>
                      <w:bCs/>
                      <w:color w:val="000000"/>
                      <w:kern w:val="2"/>
                      <w:sz w:val="21"/>
                      <w:szCs w:val="21"/>
                      <w:lang w:val="en-US" w:eastAsia="zh-CN" w:bidi="ar-SA"/>
                    </w:rPr>
                    <w:t>100%</w:t>
                  </w:r>
                </w:p>
              </w:tc>
            </w:tr>
          </w:tbl>
          <w:p>
            <w:pPr>
              <w:shd w:val="clear" w:color="auto" w:fill="EBF1DE" w:themeFill="accent3" w:themeFillTint="32"/>
            </w:pPr>
            <w:r>
              <w:rPr>
                <w:rFonts w:hint="eastAsia"/>
              </w:rPr>
              <w:t>■目标已实现</w:t>
            </w: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 □自然资源 ■基础设施  ■技术  ■财务资源。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建筑面积</w:t>
            </w:r>
            <w:r>
              <w:rPr>
                <w:rFonts w:hint="eastAsia" w:ascii="Times New Roman" w:hAnsi="Times New Roman" w:cs="Times New Roman"/>
                <w:u w:val="single"/>
                <w:lang w:val="en-US" w:eastAsia="zh-CN"/>
              </w:rPr>
              <w:t xml:space="preserve"> 1200 </w:t>
            </w:r>
            <w:r>
              <w:rPr>
                <w:rFonts w:hint="eastAsia" w:ascii="Times New Roman" w:hAnsi="Times New Roman" w:cs="Times New Roman"/>
                <w:u w:val="none"/>
                <w:lang w:val="en-US" w:eastAsia="zh-CN"/>
              </w:rPr>
              <w:t>平方米；生产车间</w:t>
            </w:r>
            <w:r>
              <w:rPr>
                <w:rFonts w:hint="eastAsia" w:ascii="Times New Roman" w:hAnsi="Times New Roman" w:cs="Times New Roman"/>
                <w:i/>
                <w:iCs/>
                <w:u w:val="none"/>
                <w:lang w:val="en-US" w:eastAsia="zh-CN"/>
              </w:rPr>
              <w:t xml:space="preserve"> </w:t>
            </w:r>
            <w:r>
              <w:rPr>
                <w:rFonts w:hint="eastAsia" w:cs="Times New Roman"/>
                <w:i w:val="0"/>
                <w:iCs w:val="0"/>
                <w:u w:val="single"/>
                <w:lang w:val="en-US" w:eastAsia="zh-CN"/>
              </w:rPr>
              <w:t>1</w:t>
            </w:r>
            <w:r>
              <w:rPr>
                <w:rFonts w:hint="eastAsia" w:ascii="Times New Roman" w:hAnsi="Times New Roman" w:cs="Times New Roman"/>
                <w:i w:val="0"/>
                <w:iCs w:val="0"/>
                <w:u w:val="single"/>
                <w:lang w:val="en-US" w:eastAsia="zh-CN"/>
              </w:rPr>
              <w:t xml:space="preserve"> </w:t>
            </w:r>
            <w:r>
              <w:rPr>
                <w:rFonts w:hint="eastAsia" w:ascii="Times New Roman" w:hAnsi="Times New Roman" w:cs="Times New Roman"/>
                <w:u w:val="none"/>
                <w:lang w:val="en-US" w:eastAsia="zh-CN"/>
              </w:rPr>
              <w:t>个；仓储区</w:t>
            </w:r>
            <w:r>
              <w:rPr>
                <w:rFonts w:hint="eastAsia" w:ascii="Times New Roman" w:hAnsi="Times New Roman" w:cs="Times New Roman"/>
                <w:u w:val="single"/>
                <w:lang w:val="en-US" w:eastAsia="zh-CN"/>
              </w:rPr>
              <w:t xml:space="preserve"> </w:t>
            </w:r>
            <w:r>
              <w:rPr>
                <w:rFonts w:hint="eastAsia" w:cs="Times New Roman"/>
                <w:u w:val="single"/>
                <w:lang w:val="en-US" w:eastAsia="zh-CN"/>
              </w:rPr>
              <w:t>1</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 xml:space="preserve">个；办公区 </w:t>
            </w:r>
            <w:r>
              <w:rPr>
                <w:rFonts w:hint="eastAsia" w:ascii="Times New Roman" w:hAnsi="Times New Roman" w:cs="Times New Roman"/>
                <w:u w:val="single"/>
                <w:lang w:val="en-US" w:eastAsia="zh-CN"/>
              </w:rPr>
              <w:t xml:space="preserve">1 </w:t>
            </w:r>
            <w:r>
              <w:rPr>
                <w:rFonts w:hint="eastAsia" w:ascii="Times New Roman" w:hAnsi="Times New Roman" w:cs="Times New Roman"/>
                <w:u w:val="none"/>
                <w:lang w:val="en-US" w:eastAsia="zh-CN"/>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Times New Roman" w:hAnsi="Times New Roman" w:cs="Times New Roman"/>
                <w:u w:val="single"/>
                <w:lang w:val="en-US" w:eastAsia="zh-CN"/>
              </w:rPr>
              <w:t xml:space="preserve">  </w:t>
            </w:r>
            <w:r>
              <w:rPr>
                <w:rFonts w:ascii="宋体" w:hAnsi="宋体" w:cs="Arial"/>
                <w:szCs w:val="21"/>
                <w:u w:val="single"/>
              </w:rPr>
              <w:t>卧式打包机、缠绕包装机、抓草机</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pPr>
              <w:shd w:val="clear" w:color="auto" w:fill="EBF1DE" w:themeFill="accent3" w:themeFillTint="32"/>
            </w:pPr>
            <w:r>
              <w:rPr>
                <w:rFonts w:hint="eastAsia"/>
              </w:rPr>
              <w:t>辅助场所：</w:t>
            </w:r>
            <w:r>
              <w:rPr>
                <w:rFonts w:ascii="Wingdings" w:hAnsi="Wingdings"/>
              </w:rPr>
              <w:t>□</w:t>
            </w:r>
            <w:r>
              <w:rPr>
                <w:rFonts w:hint="eastAsia"/>
              </w:rPr>
              <w:t xml:space="preserve">高压配电室 ■低压配电室 </w:t>
            </w:r>
            <w:r>
              <w:rPr>
                <w:rFonts w:ascii="Wingdings" w:hAnsi="Wingdings"/>
              </w:rPr>
              <w:sym w:font="Wingdings 2" w:char="00A3"/>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shd w:val="clear" w:color="auto" w:fill="EBF1DE" w:themeFill="accent3" w:themeFillTint="32"/>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 xml:space="preserve">其他  </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s="Times New Roman"/>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未进行定期校准/检定的有：</w:t>
            </w:r>
            <w:r>
              <w:rPr>
                <w:rFonts w:hint="eastAsia"/>
                <w:u w:val="single"/>
              </w:rPr>
              <w:t xml:space="preserve">  </w:t>
            </w:r>
            <w:r>
              <w:rPr>
                <w:rFonts w:hint="eastAsia"/>
                <w:u w:val="single"/>
                <w:lang w:val="en-US" w:eastAsia="zh-CN"/>
              </w:rPr>
              <w:t xml:space="preserve">          </w:t>
            </w:r>
            <w:r>
              <w:rPr>
                <w:rFonts w:hint="eastAsia"/>
                <w:color w:val="auto"/>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ascii="Wingdings" w:hAnsi="Wingdings"/>
              </w:rPr>
              <w:t>□</w:t>
            </w:r>
            <w:r>
              <w:rPr>
                <w:rFonts w:hint="eastAsia"/>
              </w:rPr>
              <w:t xml:space="preserve">换岗  ■培训  ■考核 </w:t>
            </w:r>
            <w:r>
              <w:rPr>
                <w:rFonts w:hint="eastAsia"/>
                <w:lang w:val="en-US" w:eastAsia="zh-CN"/>
              </w:rPr>
              <w:t xml:space="preserve"> </w:t>
            </w:r>
            <w:r>
              <w:rPr>
                <w:rFonts w:ascii="Wingdings" w:hAnsi="Wingdings"/>
              </w:rPr>
              <w:t>□</w:t>
            </w:r>
            <w:r>
              <w:rPr>
                <w:rFonts w:hint="eastAsia"/>
              </w:rPr>
              <w:t xml:space="preserve">辅导  </w:t>
            </w:r>
            <w:r>
              <w:rPr>
                <w:rFonts w:ascii="Wingdings" w:hAnsi="Wingdings"/>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 xml:space="preserve">特种作业人员：■电工 </w:t>
            </w:r>
            <w:r>
              <w:rPr>
                <w:rFonts w:ascii="Wingdings" w:hAnsi="Wingdings"/>
              </w:rPr>
              <w:sym w:font="Wingdings 2" w:char="00A3"/>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■标语  </w:t>
            </w:r>
            <w:r>
              <w:rPr>
                <w:rFonts w:hint="eastAsia"/>
                <w:lang w:val="en-US" w:eastAsia="zh-CN"/>
              </w:rPr>
              <w:t xml:space="preserve">  </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外部沟通方式：■宣传材料 ■网站  ■</w:t>
            </w:r>
            <w:r>
              <w:rPr>
                <w:rFonts w:ascii="Wingdings" w:hAnsi="Wingdings"/>
              </w:rPr>
              <w:sym w:font="Wingdings 2" w:char="00A3"/>
            </w:r>
            <w:r>
              <w:rPr>
                <w:rFonts w:hint="eastAsia"/>
              </w:rPr>
              <w:t xml:space="preserve">标语  ■展板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asciiTheme="minorEastAsia" w:hAnsiTheme="minorEastAsia" w:eastAsiaTheme="minorEastAsia"/>
                <w:b/>
                <w:lang w:val="en-US"/>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ascii="Wingdings" w:hAnsi="Wingdings"/>
              </w:rPr>
              <w:t>□</w:t>
            </w:r>
            <w:r>
              <w:rPr>
                <w:rFonts w:hint="eastAsia"/>
              </w:rPr>
              <w:t xml:space="preserve">Rohs  </w:t>
            </w:r>
            <w:r>
              <w:rPr>
                <w:rFonts w:ascii="Wingdings" w:hAnsi="Wingdings"/>
              </w:rPr>
              <w:t>□</w:t>
            </w:r>
            <w:r>
              <w:rPr>
                <w:rFonts w:hint="eastAsia"/>
              </w:rPr>
              <w:t xml:space="preserve">MSDS  ■EMS认证证书  </w:t>
            </w:r>
            <w:r>
              <w:rPr>
                <w:rFonts w:ascii="Wingdings" w:hAnsi="Wingdings"/>
              </w:rPr>
              <w:t>□</w:t>
            </w:r>
            <w:r>
              <w:rPr>
                <w:rFonts w:hint="eastAsia"/>
              </w:rPr>
              <w:t xml:space="preserve">特殊包装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无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ascii="Wingdings" w:hAnsi="Wingdings"/>
              </w:rPr>
              <w:t>□</w:t>
            </w:r>
            <w:r>
              <w:rPr>
                <w:rFonts w:hint="eastAsia"/>
              </w:rPr>
              <w:t xml:space="preserve">原材料采购 </w:t>
            </w:r>
            <w:r>
              <w:rPr>
                <w:rFonts w:ascii="Wingdings" w:hAnsi="Wingdings" w:cs="Times New Roman"/>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hint="eastAsia"/>
                <w:color w:val="0000FF"/>
              </w:rPr>
              <w:t xml:space="preserve"> </w:t>
            </w:r>
            <w:r>
              <w:rPr>
                <w:rFonts w:hint="eastAsia"/>
              </w:rPr>
              <w:t>■</w:t>
            </w:r>
            <w:r>
              <w:rPr>
                <w:rFonts w:hint="eastAsia" w:ascii="Wingdings" w:hAnsi="Wingdings" w:cs="Times New Roman"/>
              </w:rPr>
              <w:t>运输</w:t>
            </w:r>
            <w:r>
              <w:rPr>
                <w:rFonts w:hint="eastAsia"/>
              </w:rPr>
              <w:t xml:space="preserve">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w:t>
            </w:r>
            <w:r>
              <w:rPr>
                <w:rFonts w:ascii="Wingdings" w:hAnsi="Wingdings"/>
              </w:rPr>
              <w:t>□</w:t>
            </w:r>
            <w:r>
              <w:rPr>
                <w:rFonts w:hint="eastAsia"/>
              </w:rPr>
              <w:t xml:space="preserve">现场检查  ■专人跟踪  ■出入控制  </w:t>
            </w:r>
            <w:r>
              <w:rPr>
                <w:rFonts w:ascii="Wingdings" w:hAnsi="Wingdings"/>
              </w:rPr>
              <w:t>□</w:t>
            </w:r>
            <w:r>
              <w:rPr>
                <w:rFonts w:hint="eastAsia"/>
              </w:rPr>
              <w:t>其他</w:t>
            </w:r>
          </w:p>
          <w:p>
            <w:pPr>
              <w:spacing w:before="120" w:line="240" w:lineRule="auto"/>
              <w:ind w:firstLine="420" w:firstLineChars="200"/>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ascii="Times New Roman" w:hAnsi="Times New Roman" w:cs="Times New Roman"/>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t>节约用电</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t>节约用水</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t>排入市政管道</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设备</w:t>
                  </w:r>
                  <w:r>
                    <w:t>降噪减震</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分类收集处理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应急预案</w:t>
                  </w:r>
                  <w:r>
                    <w:rPr>
                      <w:rFonts w:hint="eastAsia"/>
                    </w:rPr>
                    <w:t>、</w:t>
                  </w:r>
                  <w:r>
                    <w:t>消防器材</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ascii="Wingdings" w:hAnsi="Wingdings"/>
              </w:rPr>
              <w:sym w:font="Wingdings 2" w:char="00A3"/>
            </w:r>
            <w:r>
              <w:rPr>
                <w:rFonts w:hint="eastAsia"/>
              </w:rPr>
              <w:t xml:space="preserve">进行了定期检验  </w:t>
            </w:r>
            <w:r>
              <w:rPr>
                <w:rFonts w:ascii="Wingdings" w:hAnsi="Wingdings"/>
              </w:rPr>
              <w:sym w:font="Wingdings 2" w:char="00A3"/>
            </w:r>
            <w:r>
              <w:rPr>
                <w:rFonts w:hint="eastAsia"/>
              </w:rPr>
              <w:t xml:space="preserve">未进行定期检验的有： </w:t>
            </w:r>
            <w:r>
              <w:rPr>
                <w:rFonts w:hint="eastAsia"/>
                <w:u w:val="single"/>
              </w:rPr>
              <w:t xml:space="preserve">        </w:t>
            </w:r>
            <w:r>
              <w:rPr>
                <w:rFonts w:hint="eastAsia"/>
                <w:u w:val="none"/>
              </w:rPr>
              <w:t xml:space="preserve"> </w:t>
            </w:r>
            <w:r>
              <w:rPr>
                <w:rFonts w:hint="eastAsia"/>
                <w:u w:val="none"/>
                <w:lang w:val="en-US" w:eastAsia="zh-CN"/>
              </w:rPr>
              <w:t>不适用</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rPr>
              <w:t>组织在生产和服务提供的整个过程中对危化品特性的进行了标识。</w:t>
            </w:r>
            <w:r>
              <w:rPr>
                <w:rFonts w:hint="eastAsia"/>
                <w:lang w:val="en-US" w:eastAsia="zh-CN"/>
              </w:rPr>
              <w:t>无危化品</w:t>
            </w:r>
          </w:p>
          <w:p>
            <w:pPr>
              <w:shd w:val="clear" w:color="auto" w:fill="EBF1DE" w:themeFill="accent3" w:themeFillTint="32"/>
              <w:jc w:val="left"/>
            </w:pPr>
            <w:r>
              <w:rPr>
                <w:rFonts w:hint="eastAsia"/>
              </w:rPr>
              <w:t>采用的标识方式：</w:t>
            </w:r>
            <w:r>
              <w:rPr>
                <w:rFonts w:ascii="Wingdings" w:hAnsi="Wingdings"/>
              </w:rPr>
              <w:sym w:font="Wingdings 2" w:char="00A3"/>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sym w:font="Wingdings 2" w:char="00A3"/>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pPr>
              <w:shd w:val="clear" w:color="auto" w:fill="EBF1DE" w:themeFill="accent3"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lang w:val="en-US" w:eastAsia="zh-CN"/>
              </w:rPr>
              <w:t>无</w:t>
            </w:r>
            <w:r>
              <w:rPr>
                <w:rFonts w:hint="eastAsia"/>
              </w:rPr>
              <w:t xml:space="preserve"> </w:t>
            </w:r>
          </w:p>
          <w:p>
            <w:pPr>
              <w:shd w:val="clear" w:color="auto" w:fill="EBF1DE" w:themeFill="accent3"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环保设备故障 </w:t>
            </w:r>
            <w:r>
              <w:rPr>
                <w:rFonts w:ascii="Wingdings" w:hAnsi="Wingdings"/>
              </w:rPr>
              <w:t>□</w:t>
            </w:r>
            <w:r>
              <w:rPr>
                <w:rFonts w:hint="eastAsia"/>
              </w:rPr>
              <w:t xml:space="preserve">停水停电 </w:t>
            </w:r>
            <w:r>
              <w:rPr>
                <w:rFonts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应急预案   </w:t>
            </w:r>
            <w:r>
              <w:rPr>
                <w:rFonts w:hint="eastAsia"/>
              </w:rPr>
              <w:t>的演练。</w:t>
            </w:r>
          </w:p>
          <w:p>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 ：</w:t>
            </w:r>
            <w:r>
              <w:rPr>
                <w:rFonts w:hint="eastAsia"/>
                <w:u w:val="single"/>
              </w:rPr>
              <w:t>202</w:t>
            </w:r>
            <w:r>
              <w:rPr>
                <w:rFonts w:hint="eastAsia"/>
                <w:u w:val="single"/>
                <w:lang w:val="en-US" w:eastAsia="zh-CN"/>
              </w:rPr>
              <w:t xml:space="preserve">2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r>
              <w:rPr>
                <w:rFonts w:hint="eastAsia"/>
              </w:rPr>
              <w:t>日</w:t>
            </w:r>
          </w:p>
          <w:p>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 xml:space="preserve">实施的检测：■企业自检 第三方监测 ■主管部门抽查  </w:t>
            </w:r>
            <w:r>
              <w:rPr>
                <w:rFonts w:ascii="Wingdings" w:hAnsi="Wingdings"/>
              </w:rPr>
              <w:t>□</w:t>
            </w:r>
            <w:r>
              <w:rPr>
                <w:rFonts w:hint="eastAsia"/>
              </w:rPr>
              <w:t xml:space="preserve">其他  </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若是组织多场所/临时场所：（按照组织的实际情况选择）无</w:t>
            </w:r>
          </w:p>
          <w:p>
            <w:pPr>
              <w:shd w:val="clear" w:color="auto" w:fill="EBF1DE" w:themeFill="accent3"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若是多班次操作：（按照组织的实际情况选择）无</w:t>
            </w:r>
          </w:p>
          <w:p>
            <w:pPr>
              <w:shd w:val="clear" w:color="auto" w:fill="EBF1DE" w:themeFill="accent3" w:themeFillTint="32"/>
            </w:pPr>
            <w:r>
              <w:rPr>
                <w:rFonts w:ascii="Wingdings" w:hAnsi="Wingdings"/>
              </w:rPr>
              <w:t>□</w:t>
            </w:r>
            <w:r>
              <w:rPr>
                <w:rFonts w:hint="eastAsia"/>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 xml:space="preserve">检测结果不合格■自我检查的结果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pPr>
              <w:shd w:val="clear" w:color="auto" w:fill="EBF1DE" w:themeFill="accent3" w:themeFillTint="32"/>
            </w:pPr>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bl>
    <w:p>
      <w:pPr>
        <w:pStyle w:val="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 □价值观  □文化  ■知识 ■绩效</w:t>
                  </w:r>
                  <w:r>
                    <w:rPr>
                      <w:rFonts w:hint="eastAsia"/>
                      <w:lang w:val="en-US" w:eastAsia="zh-CN"/>
                    </w:rPr>
                    <w:t xml:space="preserve"> </w:t>
                  </w:r>
                  <w:r>
                    <w:rPr>
                      <w:rFonts w:hint="eastAsia"/>
                    </w:rPr>
                    <w:t xml:space="preserve">□工艺■设备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组织应明确相关职业健康安全管理体系的范围；（详见第二条款审核范围）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□危化品管理■特种设备管理 </w:t>
            </w:r>
          </w:p>
          <w:p>
            <w:pPr>
              <w:spacing w:before="40" w:after="40"/>
            </w:pPr>
            <w:r>
              <w:rPr>
                <w:rFonts w:hint="eastAsia"/>
              </w:rPr>
              <w:t>□安评三同时 □职评三同时 □其他</w:t>
            </w:r>
          </w:p>
          <w:p>
            <w:pPr>
              <w:spacing w:before="40" w:after="40"/>
              <w:rPr>
                <w:b/>
                <w:bCs/>
              </w:rPr>
            </w:pPr>
            <w:r>
              <w:rPr>
                <w:rFonts w:hint="eastAsia"/>
                <w:b/>
                <w:bCs/>
              </w:rPr>
              <w:t>影</w:t>
            </w:r>
            <w:r>
              <w:rPr>
                <w:rFonts w:hint="eastAsia"/>
                <w:b/>
                <w:bCs/>
                <w:highlight w:val="none"/>
              </w:rPr>
              <w:t>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cs="宋体" w:asciiTheme="minorEastAsia" w:hAnsiTheme="minorEastAsia" w:eastAsiaTheme="minorEastAsia"/>
                <w:szCs w:val="21"/>
                <w:u w:val="single"/>
                <w:lang w:val="en-US" w:eastAsia="zh-CN"/>
              </w:rPr>
            </w:pPr>
            <w:r>
              <w:rPr>
                <w:rFonts w:hint="eastAsia"/>
              </w:rPr>
              <w:t>最高管理者制定了文件化的职业健康安全管理体系方针：</w:t>
            </w:r>
          </w:p>
          <w:p>
            <w:pPr>
              <w:spacing w:line="280" w:lineRule="exact"/>
              <w:ind w:firstLine="420" w:firstLineChars="200"/>
              <w:rPr>
                <w:rFonts w:hint="eastAsia" w:cs="宋体" w:asciiTheme="minorEastAsia" w:hAnsiTheme="minorEastAsia" w:eastAsiaTheme="minorEastAsia"/>
                <w:szCs w:val="21"/>
                <w:u w:val="single"/>
                <w:lang w:val="en-US" w:eastAsia="zh-CN"/>
              </w:rPr>
            </w:pPr>
            <w:r>
              <w:rPr>
                <w:rFonts w:hint="eastAsia" w:cs="宋体" w:asciiTheme="minorEastAsia" w:hAnsiTheme="minorEastAsia" w:eastAsiaTheme="minorEastAsia"/>
                <w:szCs w:val="21"/>
                <w:u w:val="single"/>
                <w:lang w:val="en-US" w:eastAsia="zh-CN"/>
              </w:rPr>
              <w:t>以人为本，保障健康，关爱员工，服务全员。</w:t>
            </w:r>
          </w:p>
          <w:p>
            <w:pPr>
              <w:ind w:firstLine="210" w:firstLineChars="100"/>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03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color w:val="auto"/>
              </w:rPr>
              <w:t>员工代表是——</w:t>
            </w:r>
            <w:r>
              <w:rPr>
                <w:rFonts w:hint="eastAsia"/>
                <w:color w:val="auto"/>
                <w:lang w:val="en-US" w:eastAsia="zh-CN"/>
              </w:rPr>
              <w:t>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1.紧急状态事件未识别或识别不充分</w:t>
                  </w:r>
                </w:p>
              </w:tc>
              <w:tc>
                <w:tcPr>
                  <w:tcW w:w="3965" w:type="dxa"/>
                  <w:vAlign w:val="center"/>
                </w:tcPr>
                <w:p>
                  <w:pPr>
                    <w:rPr>
                      <w:rFonts w:ascii="宋体" w:hAnsi="宋体" w:cs="宋体"/>
                      <w:sz w:val="20"/>
                      <w:szCs w:val="20"/>
                    </w:rPr>
                  </w:pPr>
                  <w:r>
                    <w:rPr>
                      <w:rFonts w:hint="eastAsia"/>
                      <w:sz w:val="20"/>
                      <w:szCs w:val="20"/>
                    </w:rPr>
                    <w:t xml:space="preserve">制定应急准备与响应管规定明确紧急事件的范围:火灾 </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2.针对紧急事件未制定应急计划或应急计划不合理</w:t>
                  </w:r>
                </w:p>
              </w:tc>
              <w:tc>
                <w:tcPr>
                  <w:tcW w:w="3965" w:type="dxa"/>
                  <w:vAlign w:val="center"/>
                </w:tcPr>
                <w:p>
                  <w:pPr>
                    <w:rPr>
                      <w:rFonts w:ascii="宋体" w:hAnsi="宋体" w:cs="宋体"/>
                      <w:sz w:val="20"/>
                      <w:szCs w:val="20"/>
                    </w:rPr>
                  </w:pPr>
                  <w:r>
                    <w:rPr>
                      <w:rFonts w:hint="eastAsia"/>
                      <w:sz w:val="20"/>
                      <w:szCs w:val="20"/>
                    </w:rPr>
                    <w:t>制定应急计划/预案,并定期演习评价改进</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3.应急计划无法进行响应</w:t>
                  </w:r>
                </w:p>
              </w:tc>
              <w:tc>
                <w:tcPr>
                  <w:tcW w:w="3965" w:type="dxa"/>
                  <w:vAlign w:val="center"/>
                </w:tcPr>
                <w:p>
                  <w:pPr>
                    <w:rPr>
                      <w:rFonts w:ascii="宋体" w:hAnsi="宋体" w:cs="宋体"/>
                      <w:sz w:val="20"/>
                      <w:szCs w:val="20"/>
                    </w:rPr>
                  </w:pPr>
                  <w:r>
                    <w:rPr>
                      <w:rFonts w:hint="eastAsia"/>
                      <w:sz w:val="20"/>
                      <w:szCs w:val="20"/>
                    </w:rPr>
                    <w:t>在可能发生紧急事件的场所揭示应急联络网,定期培训和演习评价</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w:t>
            </w:r>
            <w:r>
              <w:rPr>
                <w:rFonts w:hint="eastAsia"/>
                <w:lang w:val="en-US" w:eastAsia="zh-CN"/>
              </w:rPr>
              <w:t xml:space="preserve"> </w:t>
            </w:r>
            <w:r>
              <w:rPr>
                <w:rFonts w:hint="eastAsia"/>
              </w:rPr>
              <w:t>■粉尘  □危险作业 □高低温  □危化品泄露 □压力容器爆炸  ■火灾  ■其他</w:t>
            </w:r>
            <w:r>
              <w:rPr>
                <w:rFonts w:hint="eastAsia" w:ascii="Times New Roman" w:hAnsi="Times New Roman" w:cs="Times New Roman"/>
              </w:rPr>
              <w:t>交通事故伤害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pPr>
              <w:rPr>
                <w:rFonts w:hint="eastAsia" w:cs="Times New Roman"/>
                <w:lang w:val="en-US" w:eastAsia="zh-CN"/>
              </w:rPr>
            </w:pPr>
            <w:r>
              <w:rPr>
                <w:rFonts w:hint="eastAsia" w:cs="Times New Roman"/>
                <w:lang w:val="en-US" w:eastAsia="zh-CN"/>
              </w:rPr>
              <w:t>不适用</w:t>
            </w:r>
          </w:p>
          <w:p>
            <w:r>
              <w:t>组织</w:t>
            </w:r>
            <w:r>
              <w:rPr>
                <w:rFonts w:hint="eastAsia"/>
              </w:rPr>
              <w:t>提供了</w:t>
            </w:r>
            <w:r>
              <w:t>下列许可和授权(必要时，按每个场所来描述):</w:t>
            </w:r>
            <w:r>
              <w:rPr>
                <w:rFonts w:hint="eastAsia"/>
              </w:rPr>
              <w:t xml:space="preserve"> </w:t>
            </w:r>
          </w:p>
          <w:p>
            <w:r>
              <w:rPr>
                <w:rFonts w:hint="eastAsia"/>
              </w:rPr>
              <w:t xml:space="preserve">□安全生产许可证编号：                   </w:t>
            </w:r>
          </w:p>
          <w:p>
            <w:r>
              <w:rPr>
                <w:rFonts w:hint="eastAsia"/>
              </w:rPr>
              <w:t xml:space="preserve">□安全预评估报告日期：  </w:t>
            </w:r>
          </w:p>
          <w:p>
            <w:r>
              <w:rPr>
                <w:rFonts w:hint="eastAsia"/>
              </w:rPr>
              <w:sym w:font="Wingdings 2" w:char="00A3"/>
            </w:r>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w:t>
            </w:r>
            <w:r>
              <w:rPr>
                <w:rFonts w:hint="eastAsia"/>
                <w:color w:val="auto"/>
              </w:rPr>
              <w:t>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3771"/>
              <w:gridCol w:w="1102"/>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shd w:val="clear" w:color="auto" w:fill="auto"/>
                </w:tcPr>
                <w:p>
                  <w:pPr>
                    <w:rPr>
                      <w:rFonts w:ascii="宋体" w:hAnsi="宋体"/>
                    </w:rPr>
                  </w:pPr>
                  <w:r>
                    <w:rPr>
                      <w:rFonts w:hint="eastAsia"/>
                    </w:rPr>
                    <w:t>职业健康安全</w:t>
                  </w:r>
                  <w:r>
                    <w:rPr>
                      <w:rFonts w:hint="eastAsia" w:ascii="宋体" w:hAnsi="宋体"/>
                    </w:rPr>
                    <w:t>目标</w:t>
                  </w:r>
                </w:p>
              </w:tc>
              <w:tc>
                <w:tcPr>
                  <w:tcW w:w="3771" w:type="dxa"/>
                  <w:shd w:val="clear" w:color="auto" w:fill="auto"/>
                </w:tcPr>
                <w:p>
                  <w:pPr>
                    <w:rPr>
                      <w:rFonts w:ascii="宋体" w:hAnsi="宋体"/>
                    </w:rPr>
                  </w:pPr>
                  <w:r>
                    <w:rPr>
                      <w:rFonts w:hint="eastAsia" w:ascii="宋体" w:hAnsi="宋体"/>
                    </w:rPr>
                    <w:t>控制措施</w:t>
                  </w:r>
                </w:p>
              </w:tc>
              <w:tc>
                <w:tcPr>
                  <w:tcW w:w="1102" w:type="dxa"/>
                  <w:shd w:val="clear" w:color="auto" w:fill="auto"/>
                </w:tcPr>
                <w:p>
                  <w:pPr>
                    <w:rPr>
                      <w:rFonts w:ascii="宋体" w:hAnsi="宋体"/>
                    </w:rPr>
                  </w:pPr>
                  <w:r>
                    <w:rPr>
                      <w:rFonts w:hint="eastAsia" w:ascii="宋体" w:hAnsi="宋体"/>
                    </w:rPr>
                    <w:t>责任部门</w:t>
                  </w:r>
                </w:p>
              </w:tc>
              <w:tc>
                <w:tcPr>
                  <w:tcW w:w="1086" w:type="dxa"/>
                  <w:shd w:val="clear" w:color="auto" w:fill="auto"/>
                </w:tcPr>
                <w:p>
                  <w:pPr>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63" w:type="dxa"/>
                  <w:shd w:val="clear" w:color="auto" w:fill="auto"/>
                  <w:vAlign w:val="center"/>
                </w:tcPr>
                <w:p>
                  <w:pPr>
                    <w:ind w:firstLine="54" w:firstLineChars="26"/>
                    <w:jc w:val="left"/>
                    <w:rPr>
                      <w:rFonts w:hint="eastAsia" w:ascii="宋体" w:hAnsi="宋体"/>
                      <w:lang w:val="en-US" w:eastAsia="zh-CN"/>
                    </w:rPr>
                  </w:pPr>
                  <w:r>
                    <w:rPr>
                      <w:rFonts w:hint="eastAsia" w:ascii="宋体" w:hAnsi="宋体"/>
                    </w:rPr>
                    <w:t>工 伤 事 故 发 生 率 ≤ 0.5%，重伤事故为0</w:t>
                  </w:r>
                </w:p>
              </w:tc>
              <w:tc>
                <w:tcPr>
                  <w:tcW w:w="3771" w:type="dxa"/>
                  <w:shd w:val="clear" w:color="auto" w:fill="auto"/>
                  <w:vAlign w:val="center"/>
                </w:tcPr>
                <w:p>
                  <w:pPr>
                    <w:ind w:firstLine="54" w:firstLineChars="26"/>
                    <w:rPr>
                      <w:rFonts w:hint="eastAsia" w:ascii="宋体" w:hAnsi="宋体"/>
                    </w:rPr>
                  </w:pPr>
                  <w:r>
                    <w:rPr>
                      <w:rFonts w:hint="eastAsia" w:ascii="宋体" w:hAnsi="宋体"/>
                    </w:rPr>
                    <w:t>加强对公司安全生产的管理，加强安全培训，杜绝违章操作行为的发生。</w:t>
                  </w:r>
                </w:p>
                <w:p>
                  <w:pPr>
                    <w:ind w:firstLine="54" w:firstLineChars="26"/>
                    <w:rPr>
                      <w:rFonts w:hint="eastAsia" w:ascii="宋体" w:hAnsi="宋体"/>
                      <w:lang w:val="en-US" w:eastAsia="zh-CN"/>
                    </w:rPr>
                  </w:pPr>
                  <w:r>
                    <w:rPr>
                      <w:rFonts w:hint="eastAsia" w:ascii="宋体" w:hAnsi="宋体"/>
                    </w:rPr>
                    <w:t>严格按照规定对操作规程进行作业。</w:t>
                  </w:r>
                </w:p>
              </w:tc>
              <w:tc>
                <w:tcPr>
                  <w:tcW w:w="1102" w:type="dxa"/>
                  <w:shd w:val="clear" w:color="auto" w:fill="auto"/>
                  <w:vAlign w:val="center"/>
                </w:tcPr>
                <w:p>
                  <w:pPr>
                    <w:ind w:firstLine="54" w:firstLineChars="26"/>
                    <w:rPr>
                      <w:rFonts w:hint="default" w:ascii="宋体" w:hAnsi="宋体"/>
                      <w:lang w:val="en-US" w:eastAsia="zh-CN"/>
                    </w:rPr>
                  </w:pPr>
                  <w:r>
                    <w:rPr>
                      <w:rFonts w:hint="eastAsia" w:ascii="宋体" w:hAnsi="宋体"/>
                      <w:lang w:val="en-US" w:eastAsia="zh-CN"/>
                    </w:rPr>
                    <w:t>各部门</w:t>
                  </w:r>
                </w:p>
              </w:tc>
              <w:tc>
                <w:tcPr>
                  <w:tcW w:w="1086" w:type="dxa"/>
                  <w:shd w:val="clear" w:color="auto" w:fill="auto"/>
                </w:tcPr>
                <w:p>
                  <w:pPr>
                    <w:ind w:firstLine="54" w:firstLineChars="26"/>
                    <w:rPr>
                      <w:rFonts w:hint="eastAsia" w:ascii="宋体" w:hAnsi="宋体"/>
                    </w:rPr>
                  </w:pPr>
                </w:p>
                <w:p>
                  <w:pPr>
                    <w:ind w:firstLine="54" w:firstLineChars="26"/>
                    <w:rPr>
                      <w:rFonts w:hint="eastAsia"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center"/>
                </w:tcPr>
                <w:p>
                  <w:pPr>
                    <w:jc w:val="left"/>
                    <w:rPr>
                      <w:rFonts w:hint="eastAsia" w:ascii="宋体" w:hAnsi="宋体"/>
                    </w:rPr>
                  </w:pPr>
                  <w:r>
                    <w:rPr>
                      <w:rFonts w:hint="eastAsia" w:ascii="宋体" w:hAnsi="宋体"/>
                    </w:rPr>
                    <w:t>全年职业伤害病例为零</w:t>
                  </w:r>
                </w:p>
                <w:p>
                  <w:pPr>
                    <w:ind w:firstLine="54" w:firstLineChars="26"/>
                    <w:jc w:val="left"/>
                    <w:rPr>
                      <w:rFonts w:hint="eastAsia" w:ascii="宋体" w:hAnsi="宋体"/>
                      <w:lang w:val="en-US" w:eastAsia="zh-CN"/>
                    </w:rPr>
                  </w:pPr>
                  <w:r>
                    <w:rPr>
                      <w:rFonts w:hint="eastAsia" w:ascii="宋体" w:hAnsi="宋体"/>
                    </w:rPr>
                    <w:t xml:space="preserve">     </w:t>
                  </w:r>
                </w:p>
              </w:tc>
              <w:tc>
                <w:tcPr>
                  <w:tcW w:w="3771" w:type="dxa"/>
                  <w:vAlign w:val="center"/>
                </w:tcPr>
                <w:p>
                  <w:pPr>
                    <w:ind w:firstLine="54" w:firstLineChars="26"/>
                    <w:rPr>
                      <w:rFonts w:hint="eastAsia" w:ascii="宋体" w:hAnsi="宋体"/>
                    </w:rPr>
                  </w:pPr>
                  <w:r>
                    <w:rPr>
                      <w:rFonts w:hint="eastAsia" w:ascii="宋体" w:hAnsi="宋体"/>
                    </w:rPr>
                    <w:t>1、加强员工安全教育，提高安全意识。</w:t>
                  </w:r>
                </w:p>
                <w:p>
                  <w:pPr>
                    <w:ind w:firstLine="54" w:firstLineChars="26"/>
                    <w:rPr>
                      <w:rFonts w:hint="eastAsia" w:ascii="宋体" w:hAnsi="宋体"/>
                    </w:rPr>
                  </w:pPr>
                  <w:r>
                    <w:rPr>
                      <w:rFonts w:hint="eastAsia" w:ascii="宋体" w:hAnsi="宋体"/>
                    </w:rPr>
                    <w:t>2、定期进行员工健康体检。</w:t>
                  </w:r>
                </w:p>
                <w:p>
                  <w:pPr>
                    <w:ind w:firstLine="54" w:firstLineChars="26"/>
                    <w:rPr>
                      <w:rFonts w:hint="eastAsia" w:ascii="宋体" w:hAnsi="宋体"/>
                    </w:rPr>
                  </w:pPr>
                  <w:r>
                    <w:rPr>
                      <w:rFonts w:hint="eastAsia" w:ascii="宋体" w:hAnsi="宋体"/>
                    </w:rPr>
                    <w:t>3、定期对作业场所进行职业危害因素检查</w:t>
                  </w:r>
                </w:p>
                <w:p>
                  <w:pPr>
                    <w:ind w:firstLine="54" w:firstLineChars="26"/>
                    <w:rPr>
                      <w:rFonts w:hint="eastAsia" w:ascii="宋体" w:hAnsi="宋体"/>
                      <w:lang w:val="en-US" w:eastAsia="zh-CN"/>
                    </w:rPr>
                  </w:pPr>
                  <w:r>
                    <w:rPr>
                      <w:rFonts w:hint="eastAsia" w:ascii="宋体" w:hAnsi="宋体"/>
                    </w:rPr>
                    <w:t>4、发放劳保用品，检查员工佩戴情况</w:t>
                  </w:r>
                </w:p>
              </w:tc>
              <w:tc>
                <w:tcPr>
                  <w:tcW w:w="1102" w:type="dxa"/>
                </w:tcPr>
                <w:p>
                  <w:pPr>
                    <w:ind w:firstLine="54" w:firstLineChars="26"/>
                    <w:rPr>
                      <w:rFonts w:hint="default" w:ascii="宋体" w:hAnsi="宋体"/>
                      <w:lang w:val="en-US" w:eastAsia="zh-CN"/>
                    </w:rPr>
                  </w:pPr>
                  <w:r>
                    <w:rPr>
                      <w:rFonts w:hint="eastAsia" w:ascii="宋体" w:hAnsi="宋体"/>
                      <w:lang w:val="en-US" w:eastAsia="zh-CN"/>
                    </w:rPr>
                    <w:t>各部门</w:t>
                  </w:r>
                </w:p>
              </w:tc>
              <w:tc>
                <w:tcPr>
                  <w:tcW w:w="1086" w:type="dxa"/>
                </w:tcPr>
                <w:p>
                  <w:pPr>
                    <w:ind w:firstLine="54" w:firstLineChars="26"/>
                    <w:rPr>
                      <w:rFonts w:hint="default" w:ascii="宋体" w:hAnsi="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center"/>
                </w:tcPr>
                <w:p>
                  <w:pPr>
                    <w:ind w:firstLine="54" w:firstLineChars="26"/>
                    <w:rPr>
                      <w:rFonts w:hint="eastAsia" w:ascii="宋体" w:hAnsi="宋体"/>
                      <w:lang w:val="en-US" w:eastAsia="zh-CN"/>
                    </w:rPr>
                  </w:pPr>
                  <w:r>
                    <w:rPr>
                      <w:rFonts w:hint="eastAsia" w:ascii="宋体" w:hAnsi="宋体"/>
                    </w:rPr>
                    <w:t>新冠疫情防护</w:t>
                  </w:r>
                </w:p>
              </w:tc>
              <w:tc>
                <w:tcPr>
                  <w:tcW w:w="3771" w:type="dxa"/>
                  <w:vAlign w:val="center"/>
                </w:tcPr>
                <w:p>
                  <w:pPr>
                    <w:ind w:firstLine="54" w:firstLineChars="26"/>
                    <w:rPr>
                      <w:rFonts w:hint="eastAsia" w:ascii="宋体" w:hAnsi="宋体"/>
                    </w:rPr>
                  </w:pPr>
                  <w:r>
                    <w:rPr>
                      <w:rFonts w:hint="eastAsia" w:ascii="宋体" w:hAnsi="宋体"/>
                    </w:rPr>
                    <w:t>加强员工安全教育，提高防护意识。</w:t>
                  </w:r>
                </w:p>
                <w:p>
                  <w:pPr>
                    <w:ind w:firstLine="54" w:firstLineChars="26"/>
                    <w:rPr>
                      <w:rFonts w:hint="default" w:ascii="宋体" w:hAnsi="宋体"/>
                      <w:lang w:val="en-US" w:eastAsia="zh-CN"/>
                    </w:rPr>
                  </w:pPr>
                  <w:r>
                    <w:rPr>
                      <w:rFonts w:hint="eastAsia" w:ascii="宋体" w:hAnsi="宋体"/>
                    </w:rPr>
                    <w:t>发放防护用品，并按要求佩戴。</w:t>
                  </w:r>
                </w:p>
              </w:tc>
              <w:tc>
                <w:tcPr>
                  <w:tcW w:w="1102" w:type="dxa"/>
                  <w:vAlign w:val="top"/>
                </w:tcPr>
                <w:p>
                  <w:pPr>
                    <w:ind w:firstLine="54" w:firstLineChars="26"/>
                    <w:rPr>
                      <w:rFonts w:hint="default" w:ascii="宋体" w:hAnsi="宋体"/>
                      <w:lang w:val="en-US" w:eastAsia="zh-CN"/>
                    </w:rPr>
                  </w:pPr>
                  <w:r>
                    <w:rPr>
                      <w:rFonts w:hint="eastAsia" w:ascii="宋体" w:hAnsi="宋体"/>
                      <w:lang w:val="en-US" w:eastAsia="zh-CN"/>
                    </w:rPr>
                    <w:t>各部门</w:t>
                  </w:r>
                </w:p>
              </w:tc>
              <w:tc>
                <w:tcPr>
                  <w:tcW w:w="1086" w:type="dxa"/>
                  <w:vAlign w:val="top"/>
                </w:tcPr>
                <w:p>
                  <w:pPr>
                    <w:ind w:firstLine="54" w:firstLineChars="26"/>
                    <w:rPr>
                      <w:rFonts w:hint="eastAsia" w:ascii="宋体" w:hAnsi="宋体"/>
                      <w:lang w:val="en-US" w:eastAsia="zh-CN"/>
                    </w:rPr>
                  </w:pPr>
                  <w:r>
                    <w:rPr>
                      <w:rFonts w:hint="eastAsia" w:ascii="宋体" w:hAnsi="宋体"/>
                      <w:lang w:val="en-US" w:eastAsia="zh-CN"/>
                    </w:rPr>
                    <w:t>0</w:t>
                  </w:r>
                </w:p>
              </w:tc>
            </w:tr>
          </w:tbl>
          <w:p>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建筑面积</w:t>
            </w:r>
            <w:r>
              <w:rPr>
                <w:rFonts w:hint="eastAsia" w:ascii="Times New Roman" w:hAnsi="Times New Roman" w:cs="Times New Roman"/>
                <w:u w:val="single"/>
                <w:lang w:val="en-US" w:eastAsia="zh-CN"/>
              </w:rPr>
              <w:t xml:space="preserve"> 1200 </w:t>
            </w:r>
            <w:r>
              <w:rPr>
                <w:rFonts w:hint="eastAsia" w:ascii="Times New Roman" w:hAnsi="Times New Roman" w:cs="Times New Roman"/>
                <w:u w:val="none"/>
                <w:lang w:val="en-US" w:eastAsia="zh-CN"/>
              </w:rPr>
              <w:t>平方米；生产车间</w:t>
            </w:r>
            <w:r>
              <w:rPr>
                <w:rFonts w:hint="eastAsia" w:ascii="Times New Roman" w:hAnsi="Times New Roman" w:cs="Times New Roman"/>
                <w:u w:val="single"/>
                <w:lang w:val="en-US" w:eastAsia="zh-CN"/>
              </w:rPr>
              <w:t xml:space="preserve"> 1 </w:t>
            </w:r>
            <w:r>
              <w:rPr>
                <w:rFonts w:hint="eastAsia" w:ascii="Times New Roman" w:hAnsi="Times New Roman" w:cs="Times New Roman"/>
                <w:u w:val="none"/>
                <w:lang w:val="en-US" w:eastAsia="zh-CN"/>
              </w:rPr>
              <w:t>个；仓储区</w:t>
            </w:r>
            <w:r>
              <w:rPr>
                <w:rFonts w:hint="eastAsia" w:ascii="Times New Roman" w:hAnsi="Times New Roman" w:cs="Times New Roman"/>
                <w:u w:val="single"/>
                <w:lang w:val="en-US" w:eastAsia="zh-CN"/>
              </w:rPr>
              <w:t xml:space="preserve"> 0 </w:t>
            </w:r>
            <w:r>
              <w:rPr>
                <w:rFonts w:hint="eastAsia" w:ascii="Times New Roman" w:hAnsi="Times New Roman" w:cs="Times New Roman"/>
                <w:u w:val="none"/>
                <w:lang w:val="en-US" w:eastAsia="zh-CN"/>
              </w:rPr>
              <w:t>个；办公区</w:t>
            </w:r>
            <w:r>
              <w:rPr>
                <w:rFonts w:hint="eastAsia" w:ascii="Times New Roman" w:hAnsi="Times New Roman" w:cs="Times New Roman"/>
                <w:u w:val="single"/>
                <w:lang w:val="en-US" w:eastAsia="zh-CN"/>
              </w:rPr>
              <w:t xml:space="preserve"> 1 </w:t>
            </w:r>
            <w:r>
              <w:rPr>
                <w:rFonts w:hint="eastAsia" w:ascii="Times New Roman" w:hAnsi="Times New Roman" w:cs="Times New Roman"/>
                <w:u w:val="none"/>
                <w:lang w:val="en-US" w:eastAsia="zh-CN"/>
              </w:rPr>
              <w:t>个；</w:t>
            </w:r>
          </w:p>
          <w:p>
            <w:pPr>
              <w:rPr>
                <w:u w:val="single"/>
              </w:rPr>
            </w:pPr>
            <w:r>
              <w:rPr>
                <w:rFonts w:hint="eastAsia"/>
              </w:rPr>
              <w:t>主要生产设备有：</w:t>
            </w:r>
            <w:r>
              <w:rPr>
                <w:rFonts w:hint="eastAsia"/>
                <w:u w:val="single"/>
              </w:rPr>
              <w:t xml:space="preserve">  </w:t>
            </w:r>
            <w:r>
              <w:rPr>
                <w:rFonts w:hint="eastAsia" w:ascii="Times New Roman" w:hAnsi="Times New Roman" w:cs="Times New Roman"/>
                <w:u w:val="single"/>
                <w:lang w:val="en-US" w:eastAsia="zh-CN"/>
              </w:rPr>
              <w:t xml:space="preserve"> </w:t>
            </w:r>
            <w:r>
              <w:rPr>
                <w:rFonts w:ascii="宋体" w:hAnsi="宋体" w:cs="Arial"/>
                <w:szCs w:val="21"/>
                <w:u w:val="single"/>
              </w:rPr>
              <w:t>卧式打包机、缠绕包装机、抓草机</w:t>
            </w:r>
            <w:r>
              <w:rPr>
                <w:rFonts w:hint="eastAsia"/>
                <w:u w:val="single"/>
              </w:rPr>
              <w:t>（列举2~4种）</w:t>
            </w:r>
          </w:p>
          <w:p>
            <w:r>
              <w:rPr>
                <w:rFonts w:hint="eastAsia"/>
              </w:rPr>
              <w:t>主要安全装置有：</w:t>
            </w:r>
          </w:p>
          <w:p>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叉车</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r>
              <w:rPr>
                <w:rFonts w:hint="eastAsia"/>
              </w:rPr>
              <w:t>辅助场所：</w:t>
            </w:r>
            <w:r>
              <w:rPr>
                <w:rFonts w:ascii="Wingdings" w:hAnsi="Wingdings"/>
              </w:rPr>
              <w:t>□</w:t>
            </w:r>
            <w:r>
              <w:rPr>
                <w:rFonts w:hint="eastAsia"/>
              </w:rPr>
              <w:t xml:space="preserve">高压配电室■低压配电室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rPr>
                <w:rFonts w:hint="default"/>
                <w:u w:val="single"/>
                <w:lang w:val="en-US"/>
              </w:rPr>
            </w:pPr>
            <w:r>
              <w:rPr>
                <w:rFonts w:hint="eastAsia"/>
              </w:rPr>
              <w:t>职业健康安全监测的计量器具有：</w:t>
            </w:r>
            <w:r>
              <w:rPr>
                <w:rFonts w:hint="eastAsia"/>
                <w:u w:val="single"/>
                <w:lang w:val="en-US" w:eastAsia="zh-CN"/>
              </w:rPr>
              <w:t xml:space="preserve"> 无</w:t>
            </w:r>
            <w:r>
              <w:rPr>
                <w:rFonts w:hint="eastAsia" w:ascii="Times New Roman" w:hAnsi="Times New Roman" w:cs="Times New Roman"/>
                <w:u w:val="single"/>
                <w:lang w:val="en-US" w:eastAsia="zh-CN"/>
              </w:rPr>
              <w:t xml:space="preserve">  </w:t>
            </w:r>
          </w:p>
          <w:p>
            <w:r>
              <w:rPr>
                <w:rFonts w:ascii="Wingdings" w:hAnsi="Wingdings"/>
              </w:rPr>
              <w:t>□</w:t>
            </w:r>
            <w:r>
              <w:rPr>
                <w:rFonts w:hint="eastAsia"/>
              </w:rPr>
              <w:t xml:space="preserve">压力表 </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 xml:space="preserve">验电器 </w:t>
            </w:r>
            <w:r>
              <w:rPr>
                <w:rFonts w:ascii="Wingdings" w:hAnsi="Wingdings"/>
              </w:rPr>
              <w:t>□</w:t>
            </w:r>
            <w:r>
              <w:rPr>
                <w:rFonts w:hint="eastAsia"/>
              </w:rPr>
              <w:t xml:space="preserve">氧含量测定仪  </w:t>
            </w:r>
            <w:r>
              <w:rPr>
                <w:rFonts w:ascii="Wingdings" w:hAnsi="Wingdings"/>
              </w:rPr>
              <w:t>□</w:t>
            </w:r>
            <w:r>
              <w:rPr>
                <w:rFonts w:hint="eastAsia"/>
              </w:rPr>
              <w:t xml:space="preserve">声级计  </w:t>
            </w:r>
            <w:r>
              <w:rPr>
                <w:rFonts w:ascii="Wingdings" w:hAnsi="Wingdings"/>
              </w:rPr>
              <w:t>□</w:t>
            </w:r>
            <w:r>
              <w:rPr>
                <w:rFonts w:hint="eastAsia"/>
              </w:rPr>
              <w:t>不适用</w:t>
            </w:r>
          </w:p>
          <w:p>
            <w:pPr>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
            <w:r>
              <w:rPr>
                <w:rFonts w:hint="eastAsia"/>
              </w:rPr>
              <w:t xml:space="preserve">对国家规定持证上岗的人员资质进行了有效的管理。  </w:t>
            </w:r>
          </w:p>
          <w:p>
            <w:r>
              <w:rPr>
                <w:rFonts w:hint="eastAsia"/>
              </w:rPr>
              <w:t>特种作业人员：■电工</w:t>
            </w:r>
            <w:r>
              <w:rPr>
                <w:rFonts w:hint="eastAsia"/>
                <w:lang w:val="en-US" w:eastAsia="zh-CN"/>
              </w:rPr>
              <w:t xml:space="preserve">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■局域网  </w:t>
            </w:r>
            <w:r>
              <w:rPr>
                <w:rFonts w:ascii="Wingdings" w:hAnsi="Wingdings"/>
              </w:rPr>
              <w:t>□</w:t>
            </w:r>
            <w:r>
              <w:rPr>
                <w:rFonts w:hint="eastAsia"/>
              </w:rPr>
              <w:t>其他</w:t>
            </w:r>
          </w:p>
          <w:p/>
          <w:p>
            <w:r>
              <w:rPr>
                <w:rFonts w:hint="eastAsia"/>
              </w:rPr>
              <w:t xml:space="preserve">实施了员工三级安全教育：■入职 ■换岗  </w:t>
            </w:r>
            <w:r>
              <w:rPr>
                <w:rFonts w:ascii="Wingdings" w:hAnsi="Wingdings"/>
              </w:rPr>
              <w:t>□</w:t>
            </w:r>
            <w:r>
              <w:rPr>
                <w:rFonts w:hint="eastAsia"/>
              </w:rPr>
              <w:t xml:space="preserve">离职 </w:t>
            </w:r>
          </w:p>
          <w:p>
            <w:r>
              <w:rPr>
                <w:rFonts w:hint="eastAsia"/>
              </w:rPr>
              <w:t xml:space="preserve">实施了员工职业危害告知：■入职 ■换岗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■标语  ■展板   </w:t>
            </w:r>
            <w:r>
              <w:rPr>
                <w:rFonts w:ascii="Wingdings" w:hAnsi="Wingdings"/>
              </w:rPr>
              <w:t>□</w:t>
            </w:r>
            <w:r>
              <w:rPr>
                <w:rFonts w:hint="eastAsia"/>
              </w:rPr>
              <w:t>其他</w:t>
            </w:r>
          </w:p>
          <w:p>
            <w:r>
              <w:rPr>
                <w:rFonts w:hint="eastAsia"/>
              </w:rPr>
              <w:t xml:space="preserve">外部沟通方式：■宣传材料■网站  ■标语  ■展板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w:t>
            </w:r>
            <w:r>
              <w:rPr>
                <w:rFonts w:ascii="Wingdings" w:hAnsi="Wingdings"/>
              </w:rPr>
              <w:t>□</w:t>
            </w:r>
            <w:r>
              <w:rPr>
                <w:rFonts w:hint="eastAsia"/>
              </w:rPr>
              <w:t xml:space="preserve">MSDS   ■安全操作规程  ■外包控制要求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ascii="Wingdings" w:hAnsi="Wingdings"/>
              </w:rPr>
              <w:t>□</w:t>
            </w:r>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无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ascii="Wingdings" w:hAnsi="Wingdings"/>
              </w:rPr>
              <w:t>□</w:t>
            </w:r>
            <w:r>
              <w:rPr>
                <w:rFonts w:hint="eastAsia"/>
              </w:rPr>
              <w:t xml:space="preserve">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控制方式：■合同约定 ■危害告知  ■现场检查</w:t>
            </w:r>
            <w:r>
              <w:rPr>
                <w:rFonts w:ascii="Wingdings" w:hAnsi="Wingdings"/>
              </w:rPr>
              <w:t>□</w:t>
            </w:r>
            <w:r>
              <w:rPr>
                <w:rFonts w:ascii="Wingdings" w:hAnsi="Wingdings"/>
              </w:rPr>
              <w:sym w:font="Wingdings 2" w:char="00A3"/>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 xml:space="preserve">■漏电保护 </w:t>
                  </w:r>
                  <w:r>
                    <w:rPr>
                      <w:rFonts w:hint="eastAsia"/>
                    </w:rPr>
                    <w:sym w:font="Wingdings 2" w:char="00A3"/>
                  </w:r>
                  <w:r>
                    <w:rPr>
                      <w:rFonts w:hint="eastAsia"/>
                    </w:rPr>
                    <w:t>绝缘用具检测</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  ■穿戴劳保用品（防尘面罩）</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w:t>
                  </w:r>
                  <w:r>
                    <w:rPr>
                      <w:rFonts w:hint="eastAsia"/>
                    </w:rPr>
                    <w:sym w:font="Wingdings 2" w:char="00A3"/>
                  </w:r>
                  <w:r>
                    <w:rPr>
                      <w:rFonts w:hint="eastAsia"/>
                    </w:rPr>
                    <w:t xml:space="preserve">排风系统 </w:t>
                  </w:r>
                  <w:r>
                    <w:rPr>
                      <w:rFonts w:hint="eastAsia"/>
                    </w:rPr>
                    <w:sym w:font="Wingdings 2" w:char="00A3"/>
                  </w:r>
                  <w:r>
                    <w:rPr>
                      <w:rFonts w:hint="eastAsia"/>
                    </w:rPr>
                    <w:t>穿戴劳保用品</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A3"/>
                  </w:r>
                  <w:r>
                    <w:rPr>
                      <w:rFonts w:hint="eastAsia"/>
                    </w:rPr>
                    <w:t>空间隔离  ■穿戴劳保用品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A3"/>
                  </w:r>
                  <w:r>
                    <w:rPr>
                      <w:rFonts w:hint="eastAsia"/>
                    </w:rPr>
                    <w:t xml:space="preserve">定期检测  </w:t>
                  </w:r>
                  <w:r>
                    <w:rPr>
                      <w:rFonts w:hint="eastAsia"/>
                    </w:rPr>
                    <w:sym w:font="Wingdings 2" w:char="00A3"/>
                  </w:r>
                  <w:r>
                    <w:rPr>
                      <w:rFonts w:hint="eastAsia"/>
                    </w:rPr>
                    <w:t xml:space="preserve">压力巡视 </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t>应急预案</w:t>
                  </w:r>
                  <w:r>
                    <w:rPr>
                      <w:rFonts w:hint="eastAsia"/>
                    </w:rPr>
                    <w:t>、</w:t>
                  </w:r>
                  <w:r>
                    <w:t>消防器材</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 xml:space="preserve">安全装置检查：■进行了定期检查  </w:t>
            </w:r>
            <w:r>
              <w:rPr>
                <w:rFonts w:ascii="Wingdings" w:hAnsi="Wingdings"/>
              </w:rPr>
              <w:t>□</w:t>
            </w:r>
            <w:r>
              <w:rPr>
                <w:rFonts w:hint="eastAsia"/>
              </w:rPr>
              <w:t xml:space="preserve">未进行定期检查的有： </w:t>
            </w:r>
            <w:r>
              <w:rPr>
                <w:rFonts w:hint="eastAsia"/>
                <w:u w:val="single"/>
              </w:rPr>
              <w:t xml:space="preserve">                </w:t>
            </w:r>
          </w:p>
          <w:p>
            <w:pPr>
              <w:rPr>
                <w:rFonts w:hint="default" w:eastAsia="宋体"/>
                <w:u w:val="none"/>
                <w:lang w:val="en-US" w:eastAsia="zh-CN"/>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r>
              <w:rPr>
                <w:rFonts w:hint="eastAsia"/>
                <w:u w:val="none"/>
                <w:lang w:val="en-US" w:eastAsia="zh-CN"/>
              </w:rPr>
              <w:t>不适用</w:t>
            </w:r>
          </w:p>
          <w:p>
            <w:r>
              <w:rPr>
                <w:rFonts w:hint="eastAsia"/>
              </w:rPr>
              <w:t xml:space="preserve">特种设备检测报告，如：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default" w:eastAsia="宋体"/>
                <w:lang w:val="en-US" w:eastAsia="zh-CN"/>
              </w:rPr>
            </w:pPr>
            <w:r>
              <w:rPr>
                <w:rFonts w:hint="eastAsia"/>
              </w:rPr>
              <w:t>组织在生产和服务提供的整个过程中对危化品特性的进行了标识。</w:t>
            </w:r>
            <w:r>
              <w:rPr>
                <w:rFonts w:hint="eastAsia"/>
                <w:lang w:val="en-US" w:eastAsia="zh-CN"/>
              </w:rPr>
              <w:t>不适用</w:t>
            </w:r>
          </w:p>
          <w:p>
            <w:pPr>
              <w:jc w:val="left"/>
            </w:pPr>
            <w:r>
              <w:rPr>
                <w:rFonts w:hint="eastAsia"/>
              </w:rPr>
              <w:t>采用的标识方式：</w:t>
            </w:r>
            <w:r>
              <w:rPr>
                <w:rFonts w:ascii="Wingdings" w:hAnsi="Wingdings"/>
              </w:rPr>
              <w:t>□</w:t>
            </w:r>
            <w:r>
              <w:rPr>
                <w:rFonts w:hint="eastAsia"/>
              </w:rPr>
              <w:t xml:space="preserve">MSDS </w:t>
            </w:r>
            <w:r>
              <w:rPr>
                <w:rFonts w:ascii="Wingdings" w:hAnsi="Wingdings"/>
              </w:rPr>
              <w:sym w:font="Wingdings 2" w:char="00A3"/>
            </w:r>
            <w:r>
              <w:rPr>
                <w:rFonts w:hint="eastAsia"/>
              </w:rPr>
              <w:t xml:space="preserve">危害告知标牌  </w:t>
            </w:r>
            <w:r>
              <w:rPr>
                <w:rFonts w:ascii="Wingdings" w:hAnsi="Wingdings"/>
              </w:rPr>
              <w:t>□</w:t>
            </w:r>
            <w:r>
              <w:rPr>
                <w:rFonts w:hint="eastAsia"/>
              </w:rPr>
              <w:t xml:space="preserve">其他  </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 xml:space="preserve">组织应在生产和服务提供期间对危化品的采购、运输、使用、储存的危险源进行控制，以确保符合MSDS和法规要求。 </w:t>
            </w:r>
            <w:r>
              <w:rPr>
                <w:rFonts w:hint="eastAsia"/>
                <w:lang w:val="en-US" w:eastAsia="zh-CN"/>
              </w:rPr>
              <w:t xml:space="preserve"> 不适用</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 无</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应急预案   </w:t>
            </w:r>
            <w:r>
              <w:rPr>
                <w:rFonts w:hint="eastAsia"/>
              </w:rPr>
              <w:t xml:space="preserve">的演练。 </w:t>
            </w:r>
          </w:p>
          <w:p>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机械伤害、触电</w:t>
            </w:r>
            <w:r>
              <w:rPr>
                <w:rFonts w:hint="eastAsia"/>
                <w:u w:val="single"/>
              </w:rPr>
              <w:t xml:space="preserve">应急预案   </w:t>
            </w:r>
            <w:r>
              <w:rPr>
                <w:rFonts w:hint="eastAsia"/>
              </w:rPr>
              <w:t xml:space="preserve">的演练。 </w:t>
            </w:r>
          </w:p>
          <w:p>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 xml:space="preserve"> 202</w:t>
            </w:r>
            <w:r>
              <w:rPr>
                <w:rFonts w:hint="eastAsia"/>
                <w:u w:val="single"/>
                <w:lang w:val="en-US" w:eastAsia="zh-CN"/>
              </w:rPr>
              <w:t xml:space="preserve">2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r>
              <w:rPr>
                <w:rFonts w:hint="eastAsia"/>
              </w:rPr>
              <w:t>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实施的检测：■企业自检</w:t>
            </w:r>
            <w:r>
              <w:rPr>
                <w:rFonts w:hint="eastAsia"/>
                <w:lang w:val="en-US" w:eastAsia="zh-CN"/>
              </w:rPr>
              <w:t xml:space="preserve"> </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r>
              <w:rPr>
                <w:rFonts w:hint="eastAsia"/>
              </w:rPr>
              <w:t>《作业场所有害物质监测报告》编号：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rPr>
              <w:t>职业病体检：</w:t>
            </w:r>
            <w:r>
              <w:rPr>
                <w:rFonts w:ascii="Wingdings" w:hAnsi="Wingdings"/>
              </w:rPr>
              <w:t>□</w:t>
            </w:r>
            <w:r>
              <w:rPr>
                <w:rFonts w:hint="eastAsia"/>
              </w:rPr>
              <w:t xml:space="preserve">入职 </w:t>
            </w:r>
            <w:r>
              <w:rPr>
                <w:rFonts w:ascii="Wingdings" w:hAnsi="Wingdings"/>
              </w:rPr>
              <w:sym w:font="Wingdings 2" w:char="00A3"/>
            </w:r>
            <w:r>
              <w:rPr>
                <w:rFonts w:hint="eastAsia"/>
              </w:rPr>
              <w:t>离职</w:t>
            </w:r>
            <w:r>
              <w:rPr>
                <w:rFonts w:hint="eastAsia"/>
                <w:lang w:val="en-US" w:eastAsia="zh-CN"/>
              </w:rPr>
              <w:t xml:space="preserve">  </w:t>
            </w:r>
            <w:r>
              <w:rPr>
                <w:rFonts w:ascii="Wingdings" w:hAnsi="Wingdings"/>
              </w:rPr>
              <w:sym w:font="Wingdings 2" w:char="00A3"/>
            </w:r>
            <w:r>
              <w:rPr>
                <w:rFonts w:hint="eastAsia"/>
              </w:rPr>
              <w:t>在职（定期）</w:t>
            </w:r>
            <w:r>
              <w:rPr>
                <w:rFonts w:hint="eastAsia"/>
                <w:lang w:val="en-US" w:eastAsia="zh-CN"/>
              </w:rPr>
              <w:t>不适用</w:t>
            </w:r>
          </w:p>
          <w:p>
            <w:r>
              <w:rPr>
                <w:rFonts w:hint="eastAsia"/>
              </w:rPr>
              <w:t>《职业病体检》编号：</w:t>
            </w:r>
            <w:r>
              <w:rPr>
                <w:rFonts w:hint="eastAsia"/>
                <w:u w:val="single"/>
              </w:rPr>
              <w:t xml:space="preserve">  </w:t>
            </w:r>
            <w:r>
              <w:rPr>
                <w:rFonts w:hint="eastAsia" w:ascii="宋体" w:hAnsi="宋体" w:cs="宋体"/>
                <w:szCs w:val="21"/>
                <w:u w:val="single"/>
                <w:lang w:val="en-US" w:eastAsia="zh-CN"/>
              </w:rPr>
              <w:t>无</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 无</w:t>
            </w:r>
          </w:p>
          <w:p>
            <w:r>
              <w:rPr>
                <w:rFonts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 无</w:t>
            </w:r>
          </w:p>
          <w:p>
            <w:r>
              <w:rPr>
                <w:rFonts w:ascii="Wingdings" w:hAnsi="Wingdings"/>
              </w:rPr>
              <w:t>□</w:t>
            </w:r>
            <w:r>
              <w:rPr>
                <w:rFonts w:hint="eastAsia"/>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   ■员工代表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 xml:space="preserve">组织将管理评审的改进措施的信息沟通给：■相关的工作人员  ■员工代表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 无</w:t>
            </w:r>
          </w:p>
          <w:p>
            <w:r>
              <w:rPr>
                <w:rFonts w:ascii="Wingdings" w:hAnsi="Wingdings"/>
              </w:rPr>
              <w:t>□</w:t>
            </w:r>
            <w:r>
              <w:rPr>
                <w:rFonts w:hint="eastAsia"/>
              </w:rPr>
              <w:t xml:space="preserve">未遂事件   </w:t>
            </w:r>
            <w:r>
              <w:rPr>
                <w:rFonts w:ascii="Wingdings" w:hAnsi="Wingdings"/>
              </w:rPr>
              <w:t>□</w:t>
            </w:r>
            <w:r>
              <w:rPr>
                <w:rFonts w:hint="eastAsia"/>
              </w:rPr>
              <w:t xml:space="preserve">工伤事件  </w:t>
            </w:r>
            <w:r>
              <w:rPr>
                <w:rFonts w:ascii="Wingdings" w:hAnsi="Wingdings"/>
              </w:rPr>
              <w:t>□</w:t>
            </w:r>
            <w:r>
              <w:rPr>
                <w:rFonts w:hint="eastAsia"/>
              </w:rPr>
              <w:t xml:space="preserve">职业病体检   </w:t>
            </w:r>
            <w:r>
              <w:rPr>
                <w:rFonts w:ascii="Wingdings" w:hAnsi="Wingdings"/>
              </w:rPr>
              <w:t>□</w:t>
            </w:r>
            <w:r>
              <w:rPr>
                <w:rFonts w:hint="eastAsia"/>
              </w:rPr>
              <w:t xml:space="preserve">危化品泄露  </w:t>
            </w:r>
            <w:r>
              <w:rPr>
                <w:rFonts w:ascii="Wingdings" w:hAnsi="Wingdings"/>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 xml:space="preserve">组织将事件调查和纠正措施的信息沟通给：■相关的工作人员   ■员工代表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rFonts w:eastAsia="微软雅黑"/>
          <w:sz w:val="20"/>
          <w:szCs w:val="20"/>
        </w:rPr>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0</w:t>
            </w:r>
          </w:p>
        </w:tc>
        <w:tc>
          <w:tcPr>
            <w:tcW w:w="769" w:type="dxa"/>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eastAsia="zh-CN"/>
              </w:rPr>
            </w:pPr>
            <w:r>
              <w:rPr>
                <w:rFonts w:hint="eastAsia"/>
              </w:rPr>
              <w:t>0</w:t>
            </w:r>
          </w:p>
        </w:tc>
        <w:tc>
          <w:tcPr>
            <w:tcW w:w="768" w:type="dxa"/>
            <w:tcBorders>
              <w:bottom w:val="single" w:color="auto" w:sz="4" w:space="0"/>
            </w:tcBorders>
            <w:shd w:val="clear" w:color="auto" w:fill="F2DCDC" w:themeFill="accent2" w:themeFillTint="32"/>
            <w:vAlign w:val="center"/>
          </w:tcPr>
          <w:p>
            <w:r>
              <w:rPr>
                <w:rFonts w:hint="eastAsia"/>
              </w:rPr>
              <w:t>0</w:t>
            </w:r>
          </w:p>
        </w:tc>
        <w:tc>
          <w:tcPr>
            <w:tcW w:w="768" w:type="dxa"/>
            <w:tcBorders>
              <w:bottom w:val="single" w:color="auto" w:sz="4" w:space="0"/>
            </w:tcBorders>
            <w:shd w:val="clear" w:color="auto" w:fill="F2DCDC" w:themeFill="accent2" w:themeFillTint="32"/>
            <w:vAlign w:val="center"/>
          </w:tcPr>
          <w:p>
            <w:r>
              <w:rPr>
                <w:rFonts w:hint="eastAsia"/>
              </w:rPr>
              <w:t>0</w:t>
            </w:r>
          </w:p>
        </w:tc>
        <w:tc>
          <w:tcPr>
            <w:tcW w:w="769" w:type="dxa"/>
            <w:tcBorders>
              <w:bottom w:val="single" w:color="auto" w:sz="4" w:space="0"/>
            </w:tcBorders>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r>
              <w:rPr>
                <w:rFonts w:hint="eastAsia"/>
              </w:rPr>
              <w:t>10.1</w:t>
            </w:r>
          </w:p>
        </w:tc>
        <w:tc>
          <w:tcPr>
            <w:tcW w:w="768" w:type="dxa"/>
            <w:shd w:val="clear" w:color="auto" w:fill="F2DCDC" w:themeFill="accent2" w:themeFillTint="32"/>
            <w:vAlign w:val="center"/>
          </w:tcPr>
          <w:p>
            <w:r>
              <w:rPr>
                <w:rFonts w:hint="eastAsia"/>
              </w:rPr>
              <w:t>10.2</w:t>
            </w:r>
          </w:p>
        </w:tc>
        <w:tc>
          <w:tcPr>
            <w:tcW w:w="768" w:type="dxa"/>
            <w:shd w:val="clear" w:color="auto" w:fill="F2DCDC" w:themeFill="accent2" w:themeFillTint="32"/>
            <w:vAlign w:val="center"/>
          </w:tcPr>
          <w:p>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pStyle w:val="2"/>
        <w:rPr>
          <w:rFonts w:eastAsia="微软雅黑"/>
          <w:sz w:val="20"/>
          <w:szCs w:val="20"/>
        </w:rPr>
      </w:pPr>
    </w:p>
    <w:p>
      <w:pPr>
        <w:pStyle w:val="11"/>
      </w:pPr>
    </w:p>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EDB054B"/>
    <w:multiLevelType w:val="multilevel"/>
    <w:tmpl w:val="6EDB05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000000"/>
    <w:rsid w:val="00A02929"/>
    <w:rsid w:val="01ED5DFB"/>
    <w:rsid w:val="028B6571"/>
    <w:rsid w:val="04B70785"/>
    <w:rsid w:val="067002AF"/>
    <w:rsid w:val="06A819E1"/>
    <w:rsid w:val="07620BE5"/>
    <w:rsid w:val="086C1887"/>
    <w:rsid w:val="091B02DB"/>
    <w:rsid w:val="09B01892"/>
    <w:rsid w:val="09F2400E"/>
    <w:rsid w:val="0A546A76"/>
    <w:rsid w:val="0B81260D"/>
    <w:rsid w:val="0B896E89"/>
    <w:rsid w:val="0E4C571E"/>
    <w:rsid w:val="0FCF7398"/>
    <w:rsid w:val="0FD62478"/>
    <w:rsid w:val="10430CB4"/>
    <w:rsid w:val="105538D3"/>
    <w:rsid w:val="11EB7CC0"/>
    <w:rsid w:val="142D03FA"/>
    <w:rsid w:val="14A573AA"/>
    <w:rsid w:val="14D05689"/>
    <w:rsid w:val="153F744B"/>
    <w:rsid w:val="1839738C"/>
    <w:rsid w:val="18B828C6"/>
    <w:rsid w:val="19324427"/>
    <w:rsid w:val="196A23D1"/>
    <w:rsid w:val="1A062188"/>
    <w:rsid w:val="1AB1581F"/>
    <w:rsid w:val="1B207C5E"/>
    <w:rsid w:val="1BA3160C"/>
    <w:rsid w:val="1C353872"/>
    <w:rsid w:val="1CB3360A"/>
    <w:rsid w:val="1DF905F5"/>
    <w:rsid w:val="1E170C10"/>
    <w:rsid w:val="1E790195"/>
    <w:rsid w:val="1E7D0D2D"/>
    <w:rsid w:val="204809D3"/>
    <w:rsid w:val="20E148CF"/>
    <w:rsid w:val="21617F9F"/>
    <w:rsid w:val="21B94126"/>
    <w:rsid w:val="22573150"/>
    <w:rsid w:val="23F36278"/>
    <w:rsid w:val="24C06D8A"/>
    <w:rsid w:val="264F4111"/>
    <w:rsid w:val="274A0317"/>
    <w:rsid w:val="27604AD9"/>
    <w:rsid w:val="27C436A5"/>
    <w:rsid w:val="27E67E6F"/>
    <w:rsid w:val="28277120"/>
    <w:rsid w:val="28FE4325"/>
    <w:rsid w:val="29177784"/>
    <w:rsid w:val="296A6DF5"/>
    <w:rsid w:val="2C8B6404"/>
    <w:rsid w:val="2D960108"/>
    <w:rsid w:val="2DAA6808"/>
    <w:rsid w:val="2DCD324D"/>
    <w:rsid w:val="2E1B7727"/>
    <w:rsid w:val="307A0735"/>
    <w:rsid w:val="32FA2ADB"/>
    <w:rsid w:val="33072028"/>
    <w:rsid w:val="33E73CD7"/>
    <w:rsid w:val="37292692"/>
    <w:rsid w:val="39622FFD"/>
    <w:rsid w:val="39BB53BE"/>
    <w:rsid w:val="3A0E1EEE"/>
    <w:rsid w:val="3A192D6D"/>
    <w:rsid w:val="3AAB3886"/>
    <w:rsid w:val="3AC97207"/>
    <w:rsid w:val="3B5C79BA"/>
    <w:rsid w:val="3B795AFD"/>
    <w:rsid w:val="3D8C5C77"/>
    <w:rsid w:val="3DDB1055"/>
    <w:rsid w:val="3F4D2118"/>
    <w:rsid w:val="3F4D2827"/>
    <w:rsid w:val="3F6C393F"/>
    <w:rsid w:val="4093314D"/>
    <w:rsid w:val="41566123"/>
    <w:rsid w:val="439974A5"/>
    <w:rsid w:val="44AF77DE"/>
    <w:rsid w:val="44B8210E"/>
    <w:rsid w:val="47C06B11"/>
    <w:rsid w:val="48174664"/>
    <w:rsid w:val="48623B31"/>
    <w:rsid w:val="48DD480D"/>
    <w:rsid w:val="49A34401"/>
    <w:rsid w:val="49CC05C9"/>
    <w:rsid w:val="4A4474A1"/>
    <w:rsid w:val="4B712593"/>
    <w:rsid w:val="4CB057BC"/>
    <w:rsid w:val="4E286BB8"/>
    <w:rsid w:val="4E4911BC"/>
    <w:rsid w:val="4E752F33"/>
    <w:rsid w:val="522307D5"/>
    <w:rsid w:val="532B6930"/>
    <w:rsid w:val="53777ADE"/>
    <w:rsid w:val="537E227E"/>
    <w:rsid w:val="53DD375B"/>
    <w:rsid w:val="542338B0"/>
    <w:rsid w:val="54316AAD"/>
    <w:rsid w:val="550671B7"/>
    <w:rsid w:val="55DF663B"/>
    <w:rsid w:val="579356C1"/>
    <w:rsid w:val="59260BAB"/>
    <w:rsid w:val="5CBD1826"/>
    <w:rsid w:val="5E3A1D2A"/>
    <w:rsid w:val="609F2D83"/>
    <w:rsid w:val="6115578D"/>
    <w:rsid w:val="61A9504A"/>
    <w:rsid w:val="61DB4D1A"/>
    <w:rsid w:val="64F953C5"/>
    <w:rsid w:val="66A81E79"/>
    <w:rsid w:val="67144738"/>
    <w:rsid w:val="67CA636D"/>
    <w:rsid w:val="67F93A2E"/>
    <w:rsid w:val="68027953"/>
    <w:rsid w:val="6826397D"/>
    <w:rsid w:val="68B0174A"/>
    <w:rsid w:val="68B24209"/>
    <w:rsid w:val="693D267F"/>
    <w:rsid w:val="6A33268F"/>
    <w:rsid w:val="6C714E15"/>
    <w:rsid w:val="6D042B59"/>
    <w:rsid w:val="6E0450B1"/>
    <w:rsid w:val="6E3A3C49"/>
    <w:rsid w:val="6EB365E5"/>
    <w:rsid w:val="70DB44B5"/>
    <w:rsid w:val="713063AD"/>
    <w:rsid w:val="719A3A8C"/>
    <w:rsid w:val="727141BD"/>
    <w:rsid w:val="72755B8B"/>
    <w:rsid w:val="73697EE1"/>
    <w:rsid w:val="738918DF"/>
    <w:rsid w:val="74760A09"/>
    <w:rsid w:val="74AE3AD6"/>
    <w:rsid w:val="74FD3F4C"/>
    <w:rsid w:val="75CB382B"/>
    <w:rsid w:val="761348DE"/>
    <w:rsid w:val="77B533CE"/>
    <w:rsid w:val="78564BB1"/>
    <w:rsid w:val="798B2AB7"/>
    <w:rsid w:val="7AF654A9"/>
    <w:rsid w:val="7E772814"/>
    <w:rsid w:val="7E944BF2"/>
    <w:rsid w:val="7EC27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font3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37696</Words>
  <Characters>38893</Characters>
  <Lines>150</Lines>
  <Paragraphs>42</Paragraphs>
  <TotalTime>10</TotalTime>
  <ScaleCrop>false</ScaleCrop>
  <LinksUpToDate>false</LinksUpToDate>
  <CharactersWithSpaces>42942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2022-06-08T12:31:21Z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