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0456-2022-F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杭州临安鼎新农业科技有限公司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2022年05月26日 上午</w:t>
            </w:r>
            <w:r>
              <w:rPr>
                <w:rFonts w:hint="eastAsia" w:ascii="宋体"/>
                <w:b/>
                <w:color w:val="000000"/>
                <w:szCs w:val="21"/>
                <w:lang w:val="en-US" w:eastAsia="zh-CN"/>
              </w:rPr>
              <w:t>8：30</w:t>
            </w:r>
            <w:r>
              <w:rPr>
                <w:rFonts w:hint="eastAsia" w:ascii="宋体"/>
                <w:b/>
                <w:color w:val="000000"/>
                <w:szCs w:val="21"/>
              </w:rPr>
              <w:t>至2022年05月26日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5"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u w:val="single"/>
              </w:rPr>
              <w:t>浙江省杭州市临安区玲珑街道双源村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FI-2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杭州临安鼎新农业科技有限公司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浙江省杭州市临安区玲珑街道双源村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浙江省杭州市临安区玲珑街道双源村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卢利芬</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15397888333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hint="eastAsia" w:ascii="宋体" w:eastAsia="宋体"/>
                <w:b/>
                <w:color w:val="000000"/>
                <w:szCs w:val="21"/>
                <w:lang w:eastAsia="zh-CN"/>
              </w:rPr>
            </w:pPr>
            <w:bookmarkStart w:id="32" w:name="联系人传真"/>
            <w:bookmarkEnd w:id="32"/>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郎强军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卢利芬</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4" w:name="联系人邮箱"/>
            <w:r>
              <w:rPr>
                <w:sz w:val="21"/>
                <w:szCs w:val="21"/>
              </w:rPr>
              <w:t>717160614@qq.com</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预包装食品（含冷藏冷冻食品）销售及散装食品（不含冷藏冷冻食品）销售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lang w:val="en-US" w:eastAsia="zh-CN"/>
              </w:rPr>
              <w:t>预包装食品（含冷藏冷冻食品）销售及散装食品（不含冷藏冷冻食品）销售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3886200" cy="21463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3886200" cy="21463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位于浙江省杭州市临安区玲珑街道双源村杭州临安鼎新农业科技有限公司预包装食品（含冷藏冷冻食品）销售及散装食品（不含冷藏冷冻食品）销售</w:t>
            </w:r>
          </w:p>
        </w:tc>
        <w:tc>
          <w:tcPr>
            <w:tcW w:w="2006" w:type="dxa"/>
            <w:gridSpan w:val="3"/>
            <w:vAlign w:val="center"/>
          </w:tcPr>
          <w:p>
            <w:pPr>
              <w:spacing w:line="400" w:lineRule="exact"/>
              <w:rPr>
                <w:rFonts w:ascii="宋体" w:hAnsi="宋体"/>
                <w:b/>
                <w:color w:val="000000"/>
                <w:szCs w:val="21"/>
              </w:rPr>
            </w:pPr>
            <w:r>
              <w:rPr>
                <w:sz w:val="20"/>
              </w:rP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bookmarkStart w:id="36" w:name="_GoBack" w:colFirst="1" w:colLast="5"/>
            <w:r>
              <w:rPr>
                <w:rFonts w:eastAsia="黑体"/>
                <w:szCs w:val="21"/>
                <w:lang w:eastAsia="ja-JP"/>
              </w:rPr>
              <w:t>01</w:t>
            </w:r>
          </w:p>
        </w:tc>
        <w:tc>
          <w:tcPr>
            <w:tcW w:w="2267" w:type="dxa"/>
          </w:tcPr>
          <w:p>
            <w:pPr>
              <w:spacing w:before="40" w:after="40"/>
            </w:pPr>
            <w:r>
              <w:t>杭州临安鼎新农业科技有限公司</w:t>
            </w:r>
          </w:p>
          <w:p>
            <w:pPr>
              <w:pStyle w:val="2"/>
              <w:rPr>
                <w:lang w:val="de-DE" w:eastAsia="ja-JP"/>
              </w:rPr>
            </w:pPr>
            <w:r>
              <w:rPr>
                <w:rFonts w:asciiTheme="minorEastAsia" w:hAnsiTheme="minorEastAsia" w:eastAsiaTheme="minorEastAsia"/>
                <w:sz w:val="20"/>
              </w:rPr>
              <w:t>浙江省杭州市临安区玲珑街道双源村</w:t>
            </w:r>
          </w:p>
        </w:tc>
        <w:tc>
          <w:tcPr>
            <w:tcW w:w="2267" w:type="dxa"/>
          </w:tcPr>
          <w:p>
            <w:pPr>
              <w:spacing w:before="40" w:after="40"/>
              <w:rPr>
                <w:rFonts w:eastAsia="黑体"/>
                <w:szCs w:val="21"/>
                <w:lang w:val="de-DE" w:eastAsia="ja-JP"/>
              </w:rPr>
            </w:pPr>
            <w:r>
              <w:rPr>
                <w:rFonts w:asciiTheme="minorEastAsia" w:hAnsiTheme="minorEastAsia" w:eastAsiaTheme="minorEastAsia"/>
                <w:sz w:val="20"/>
              </w:rPr>
              <w:t>浙江省杭州市临安区玲珑街道双源村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pPr>
              <w:pStyle w:val="19"/>
              <w:rPr>
                <w:rFonts w:eastAsia="黑体" w:cs="Arial"/>
                <w:sz w:val="21"/>
                <w:szCs w:val="21"/>
                <w:lang w:val="en-US" w:eastAsia="ja-JP"/>
              </w:rPr>
            </w:pPr>
            <w:r>
              <w:rPr>
                <w:rFonts w:hint="eastAsia" w:ascii="宋体" w:hAnsi="宋体"/>
                <w:b/>
                <w:color w:val="000000"/>
                <w:szCs w:val="21"/>
              </w:rPr>
              <w:t>位于浙江省杭州市临安区玲珑街道双源村杭州临安鼎新农业科技有限公司预包装食品（含冷藏冷冻食品）销售及散装食品（不含冷藏冷冻食品）销售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sym w:font="Wingdings 2" w:char="0052"/>
            </w:r>
            <w:r>
              <w:rPr>
                <w:rFonts w:hint="eastAsia" w:ascii="宋体"/>
                <w:b w:val="0"/>
                <w:bCs/>
                <w:color w:val="000000"/>
                <w:sz w:val="21"/>
                <w:szCs w:val="21"/>
                <w:lang w:val="en-US" w:eastAsia="zh-CN"/>
              </w:rPr>
              <w:t>经营/</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strike/>
                <w:dstrike w:val="0"/>
                <w:color w:val="000000"/>
                <w:spacing w:val="-10"/>
                <w:szCs w:val="21"/>
              </w:rPr>
            </w:pPr>
            <w:r>
              <w:rPr>
                <w:rFonts w:hint="eastAsia" w:ascii="宋体" w:hAnsi="宋体"/>
                <w:strike/>
                <w:dstrike w:val="0"/>
                <w:color w:val="000000"/>
                <w:spacing w:val="-10"/>
                <w:szCs w:val="21"/>
              </w:rPr>
              <w:t>质量管理体系覆盖范围是否考虑了标准</w:t>
            </w:r>
            <w:r>
              <w:rPr>
                <w:rFonts w:ascii="宋体" w:hAnsi="宋体"/>
                <w:strike/>
                <w:dstrike w:val="0"/>
                <w:color w:val="000000"/>
                <w:spacing w:val="-10"/>
                <w:szCs w:val="21"/>
              </w:rPr>
              <w:t>a)-c)</w:t>
            </w:r>
            <w:r>
              <w:rPr>
                <w:rFonts w:hint="eastAsia" w:ascii="宋体" w:hAnsi="宋体"/>
                <w:strike/>
                <w:dstrike w:val="0"/>
                <w:color w:val="000000"/>
                <w:spacing w:val="-10"/>
                <w:szCs w:val="21"/>
              </w:rPr>
              <w:t>的要求</w:t>
            </w:r>
          </w:p>
        </w:tc>
        <w:tc>
          <w:tcPr>
            <w:tcW w:w="990"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314"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strike/>
                <w:dstrike w:val="0"/>
                <w:color w:val="000000"/>
                <w:spacing w:val="-10"/>
                <w:szCs w:val="21"/>
              </w:rPr>
            </w:pPr>
            <w:r>
              <w:rPr>
                <w:rFonts w:hint="eastAsia" w:ascii="宋体" w:hAnsi="宋体"/>
                <w:strike/>
                <w:dstrike w:val="0"/>
                <w:color w:val="000000"/>
                <w:spacing w:val="-10"/>
                <w:szCs w:val="21"/>
              </w:rPr>
              <w:t>质量管理体系覆盖了</w:t>
            </w:r>
            <w:r>
              <w:rPr>
                <w:strike/>
                <w:dstrike w:val="0"/>
              </w:rPr>
              <w:t>多场所</w:t>
            </w:r>
            <w:r>
              <w:rPr>
                <w:rFonts w:hint="eastAsia"/>
                <w:strike/>
                <w:dstrike w:val="0"/>
              </w:rPr>
              <w:t>/临时场</w:t>
            </w:r>
            <w:r>
              <w:rPr>
                <w:strike/>
                <w:dstrike w:val="0"/>
              </w:rPr>
              <w:t>的</w:t>
            </w:r>
            <w:r>
              <w:rPr>
                <w:rFonts w:hint="eastAsia"/>
                <w:strike/>
                <w:dstrike w:val="0"/>
              </w:rPr>
              <w:t>运行控制</w:t>
            </w:r>
            <w:r>
              <w:rPr>
                <w:strike/>
                <w:dstrike w:val="0"/>
              </w:rPr>
              <w:t>（</w:t>
            </w:r>
            <w:r>
              <w:rPr>
                <w:rFonts w:hint="eastAsia"/>
                <w:strike/>
                <w:dstrike w:val="0"/>
              </w:rPr>
              <w:t>适用</w:t>
            </w:r>
            <w:r>
              <w:rPr>
                <w:strike/>
                <w:dstrike w:val="0"/>
              </w:rPr>
              <w:t>时）</w:t>
            </w:r>
          </w:p>
        </w:tc>
        <w:tc>
          <w:tcPr>
            <w:tcW w:w="990"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314"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4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A3"/>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 w:val="20"/>
                <w:lang w:val="en-GB"/>
              </w:rPr>
              <w:t>成立了</w:t>
            </w:r>
            <w:r>
              <w:rPr>
                <w:rFonts w:hint="eastAsia" w:ascii="宋体" w:hAnsi="宋体"/>
                <w:bCs/>
                <w:color w:val="auto"/>
                <w:sz w:val="20"/>
              </w:rPr>
              <w:t>食品安全</w:t>
            </w:r>
            <w:r>
              <w:rPr>
                <w:rFonts w:hint="eastAsia" w:ascii="宋体" w:hAnsi="宋体"/>
                <w:bCs/>
                <w:color w:val="auto"/>
                <w:sz w:val="20"/>
                <w:lang w:val="en-GB"/>
              </w:rPr>
              <w:t>小组，进行了</w:t>
            </w:r>
            <w:r>
              <w:rPr>
                <w:rFonts w:hint="eastAsia" w:ascii="宋体" w:hAnsi="宋体"/>
                <w:bCs/>
                <w:color w:val="auto"/>
                <w:sz w:val="20"/>
              </w:rPr>
              <w:t>充分的</w:t>
            </w:r>
            <w:r>
              <w:rPr>
                <w:rFonts w:hint="eastAsia" w:ascii="宋体" w:hAnsi="宋体"/>
                <w:bCs/>
                <w:color w:val="auto"/>
                <w:sz w:val="20"/>
                <w:lang w:val="en-GB"/>
              </w:rPr>
              <w:t>食品安全危害分析</w:t>
            </w:r>
            <w:r>
              <w:rPr>
                <w:rFonts w:hint="eastAsia" w:ascii="宋体" w:hAnsi="宋体"/>
                <w:bCs/>
                <w:color w:val="auto"/>
                <w:sz w:val="20"/>
              </w:rPr>
              <w:t>和评估</w:t>
            </w:r>
          </w:p>
        </w:tc>
        <w:tc>
          <w:tcPr>
            <w:tcW w:w="1470" w:type="dxa"/>
            <w:shd w:val="clear" w:color="auto" w:fill="E6E0EC" w:themeFill="accent4" w:themeFillTint="32"/>
          </w:tcPr>
          <w:p>
            <w:pPr>
              <w:rPr>
                <w:rFonts w:hint="default" w:ascii="宋体" w:eastAsia="宋体"/>
                <w:color w:val="auto"/>
                <w:spacing w:val="-10"/>
                <w:szCs w:val="21"/>
                <w:lang w:val="en-US" w:eastAsia="zh-CN"/>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zCs w:val="21"/>
                <w:lang w:eastAsia="zh-CN"/>
              </w:rPr>
              <w:t>，</w:t>
            </w:r>
            <w:r>
              <w:rPr>
                <w:rFonts w:hint="eastAsia" w:ascii="宋体" w:hAnsi="宋体"/>
                <w:color w:val="auto"/>
                <w:szCs w:val="21"/>
                <w:lang w:val="en-US" w:eastAsia="zh-CN"/>
              </w:rPr>
              <w:t>不充分，见问题清单</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auto"/>
                <w:spacing w:val="-10"/>
                <w:szCs w:val="21"/>
                <w:lang w:eastAsia="zh-CN"/>
              </w:rPr>
              <w:sym w:font="Wingdings 2" w:char="0052"/>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val="en-US" w:eastAsia="zh-CN"/>
              </w:rPr>
              <w:t>显著危害</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2"/>
              <w:spacing w:line="360" w:lineRule="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OPRP1:禽肉类、水产类采购验收</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OPRP2:冷冻品储存</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OPRP3：冻品配送</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CCP1：果蔬类产品验收</w:t>
            </w:r>
          </w:p>
        </w:tc>
        <w:tc>
          <w:tcPr>
            <w:tcW w:w="1470"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zCs w:val="21"/>
                <w:highlight w:val="none"/>
                <w:lang w:val="en-US" w:eastAsia="zh-CN"/>
              </w:rPr>
              <w:t>/行动准则</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2"/>
              <w:spacing w:line="360" w:lineRule="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OPRP1:每年核查外检报告，验证产品符合要求；</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OPRP2:冷冻品储存：冷藏温度：-2~10℃、冷冻温度≤-12℃</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OPRP3：冻品配送：冷藏温度：-2~10℃、冷冻温度≤-0℃</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CCP1：果蔬类产品验收：农残抑制率≤50%</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49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是否满足生产/服务的需要且完好运行</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color w:val="000000"/>
                <w:szCs w:val="21"/>
              </w:rPr>
              <w:t>（不适用）</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230" w:type="dxa"/>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490" w:type="dxa"/>
            <w:shd w:val="clear" w:color="auto" w:fill="E6E0EC" w:themeFill="accent4" w:themeFillTint="32"/>
            <w:vAlign w:val="center"/>
          </w:tcPr>
          <w:p>
            <w:pPr>
              <w:jc w:val="left"/>
              <w:rPr>
                <w:rFonts w:ascii="宋体"/>
                <w:color w:val="000000"/>
                <w:szCs w:val="21"/>
              </w:rPr>
            </w:pPr>
            <w:r>
              <w:rPr>
                <w:rFonts w:hint="eastAsia" w:ascii="宋体"/>
                <w:color w:val="000000"/>
                <w:szCs w:val="21"/>
              </w:rPr>
              <w:t>是否满足产品检测的需要</w:t>
            </w:r>
          </w:p>
        </w:tc>
        <w:tc>
          <w:tcPr>
            <w:tcW w:w="1470" w:type="dxa"/>
            <w:shd w:val="clear" w:color="auto" w:fill="E6E0EC" w:themeFill="accent4"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230" w:type="dxa"/>
            <w:shd w:val="clear" w:color="auto" w:fill="E6E0EC" w:themeFill="accent4" w:themeFillTint="32"/>
          </w:tcPr>
          <w:p>
            <w:pPr>
              <w:rPr>
                <w:rFonts w:hint="default" w:ascii="宋体"/>
                <w:color w:val="000000"/>
                <w:szCs w:val="21"/>
                <w:lang w:val="en-US"/>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47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2022-05-</w:t>
            </w:r>
            <w:bookmarkEnd w:id="35"/>
            <w:r>
              <w:rPr>
                <w:rFonts w:hint="eastAsia" w:ascii="宋体"/>
                <w:b/>
                <w:color w:val="000000"/>
                <w:szCs w:val="21"/>
                <w:lang w:val="en-US" w:eastAsia="zh-CN"/>
              </w:rPr>
              <w:t>27上午8:00</w:t>
            </w:r>
          </w:p>
        </w:tc>
      </w:tr>
    </w:tbl>
    <w:p>
      <w:pPr>
        <w:spacing w:before="156" w:beforeLines="50" w:line="360" w:lineRule="exact"/>
        <w:rPr>
          <w:rFonts w:ascii="宋体"/>
          <w:b/>
          <w:color w:val="000000"/>
          <w:szCs w:val="21"/>
        </w:rPr>
      </w:pPr>
    </w:p>
    <w:p>
      <w:pPr>
        <w:widowControl/>
        <w:jc w:val="left"/>
        <w:rPr>
          <w:rFonts w:hint="eastAsia" w:ascii="宋体" w:eastAsia="宋体"/>
          <w:b/>
          <w:color w:val="000000"/>
          <w:szCs w:val="21"/>
          <w:lang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r>
        <w:rPr>
          <w:rFonts w:hint="eastAsia" w:ascii="宋体" w:hAnsi="宋体"/>
          <w:b/>
          <w:color w:val="000000"/>
          <w:szCs w:val="21"/>
          <w:lang w:eastAsia="zh-CN"/>
        </w:rPr>
        <w:t>】</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sz w:val="20"/>
              </w:rPr>
              <w:t>位于浙江省杭州市临安区玲珑街道双源村杭州临安鼎新农业科技有限公司预包装食品（含冷藏冷冻品销售）及散装食品（不含冷藏冷冻品销售）所涉及的食品安全管理</w:t>
            </w:r>
          </w:p>
        </w:tc>
        <w:tc>
          <w:tcPr>
            <w:tcW w:w="1541" w:type="dxa"/>
            <w:vAlign w:val="center"/>
          </w:tcPr>
          <w:p>
            <w:pPr>
              <w:spacing w:line="400" w:lineRule="exact"/>
              <w:rPr>
                <w:rFonts w:ascii="宋体" w:hAnsi="宋体"/>
                <w:b/>
                <w:color w:val="000000"/>
                <w:szCs w:val="21"/>
              </w:rPr>
            </w:pPr>
            <w:r>
              <w:rPr>
                <w:sz w:val="20"/>
              </w:rP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3360" behindDoc="1" locked="0" layoutInCell="1" allowOverlap="1">
            <wp:simplePos x="0" y="0"/>
            <wp:positionH relativeFrom="column">
              <wp:posOffset>2014855</wp:posOffset>
            </wp:positionH>
            <wp:positionV relativeFrom="paragraph">
              <wp:posOffset>107315</wp:posOffset>
            </wp:positionV>
            <wp:extent cx="1350645" cy="782320"/>
            <wp:effectExtent l="0" t="0" r="8255" b="5080"/>
            <wp:wrapTight wrapText="bothSides">
              <wp:wrapPolygon>
                <wp:start x="0" y="0"/>
                <wp:lineTo x="0" y="21390"/>
                <wp:lineTo x="21326" y="21390"/>
                <wp:lineTo x="21326" y="0"/>
                <wp:lineTo x="0" y="0"/>
              </wp:wrapPolygon>
            </wp:wrapTight>
            <wp:docPr id="6" name="图片 6"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17190978092871566"/>
                    <pic:cNvPicPr>
                      <a:picLocks noChangeAspect="1"/>
                    </pic:cNvPicPr>
                  </pic:nvPicPr>
                  <pic:blipFill>
                    <a:blip r:embed="rId7"/>
                    <a:stretch>
                      <a:fillRect/>
                    </a:stretch>
                  </pic:blipFill>
                  <pic:spPr>
                    <a:xfrm>
                      <a:off x="0" y="0"/>
                      <a:ext cx="1350645" cy="78232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无</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2022-05-26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123"/>
        <w:gridCol w:w="1978"/>
        <w:gridCol w:w="135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91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97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57"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48" w:type="dxa"/>
            <w:vAlign w:val="center"/>
          </w:tcPr>
          <w:p>
            <w:pPr>
              <w:pStyle w:val="6"/>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4911" w:type="dxa"/>
            <w:gridSpan w:val="2"/>
            <w:vAlign w:val="center"/>
          </w:tcPr>
          <w:p>
            <w:pPr>
              <w:pStyle w:val="6"/>
              <w:pBdr>
                <w:bottom w:val="none" w:color="auto" w:sz="0" w:space="0"/>
              </w:pBdr>
              <w:tabs>
                <w:tab w:val="center" w:pos="5737"/>
                <w:tab w:val="clear" w:pos="4153"/>
              </w:tabs>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电子天平已送检，但未取得报告</w:t>
            </w:r>
          </w:p>
          <w:p>
            <w:pPr>
              <w:pStyle w:val="6"/>
              <w:pBdr>
                <w:bottom w:val="none" w:color="auto" w:sz="0" w:space="0"/>
              </w:pBdr>
              <w:tabs>
                <w:tab w:val="center" w:pos="5737"/>
                <w:tab w:val="clear" w:pos="4153"/>
              </w:tabs>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农残测试仪未提供校验报告</w:t>
            </w:r>
          </w:p>
        </w:tc>
        <w:tc>
          <w:tcPr>
            <w:tcW w:w="1978"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ISO22000:2018</w:t>
            </w:r>
          </w:p>
        </w:tc>
        <w:tc>
          <w:tcPr>
            <w:tcW w:w="1357"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8.7</w:t>
            </w:r>
          </w:p>
        </w:tc>
        <w:tc>
          <w:tcPr>
            <w:tcW w:w="934"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8" w:type="dxa"/>
            <w:vAlign w:val="center"/>
          </w:tcPr>
          <w:p>
            <w:pPr>
              <w:pStyle w:val="6"/>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4911" w:type="dxa"/>
            <w:gridSpan w:val="2"/>
            <w:vAlign w:val="center"/>
          </w:tcPr>
          <w:p>
            <w:pPr>
              <w:pStyle w:val="6"/>
              <w:numPr>
                <w:ilvl w:val="0"/>
                <w:numId w:val="3"/>
              </w:numPr>
              <w:pBdr>
                <w:bottom w:val="none" w:color="auto" w:sz="0" w:space="0"/>
              </w:pBdr>
              <w:tabs>
                <w:tab w:val="center" w:pos="5737"/>
                <w:tab w:val="clear" w:pos="4153"/>
              </w:tabs>
              <w:spacing w:line="360" w:lineRule="auto"/>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《危害控制计划》原辅料特性描述中未</w:t>
            </w:r>
            <w:r>
              <w:rPr>
                <w:rFonts w:hint="eastAsia" w:ascii="Times New Roman" w:hAnsi="Times New Roman" w:cs="Times New Roman"/>
                <w:color w:val="000000"/>
                <w:sz w:val="21"/>
                <w:szCs w:val="21"/>
                <w:lang w:val="en-US" w:eastAsia="zh-CN"/>
              </w:rPr>
              <w:t>对</w:t>
            </w:r>
            <w:r>
              <w:rPr>
                <w:rFonts w:hint="default" w:ascii="Times New Roman" w:hAnsi="Times New Roman" w:cs="Times New Roman"/>
                <w:color w:val="000000"/>
                <w:sz w:val="21"/>
                <w:szCs w:val="21"/>
                <w:lang w:val="en-US" w:eastAsia="zh-CN"/>
              </w:rPr>
              <w:t>冷藏乳制品，如酸奶</w:t>
            </w:r>
            <w:r>
              <w:rPr>
                <w:rFonts w:hint="eastAsia" w:ascii="Times New Roman" w:hAnsi="Times New Roman" w:cs="Times New Roman"/>
                <w:color w:val="000000"/>
                <w:sz w:val="21"/>
                <w:szCs w:val="21"/>
                <w:lang w:val="en-US" w:eastAsia="zh-CN"/>
              </w:rPr>
              <w:t>、点心类产品进行描述</w:t>
            </w:r>
            <w:r>
              <w:rPr>
                <w:rFonts w:hint="default" w:ascii="Times New Roman" w:hAnsi="Times New Roman" w:cs="Times New Roman"/>
                <w:color w:val="000000"/>
                <w:sz w:val="21"/>
                <w:szCs w:val="21"/>
                <w:lang w:val="en-US" w:eastAsia="zh-CN"/>
              </w:rPr>
              <w:t>；</w:t>
            </w:r>
          </w:p>
          <w:p>
            <w:pPr>
              <w:pStyle w:val="6"/>
              <w:numPr>
                <w:ilvl w:val="0"/>
                <w:numId w:val="3"/>
              </w:numPr>
              <w:pBdr>
                <w:bottom w:val="none" w:color="auto" w:sz="0" w:space="0"/>
              </w:pBdr>
              <w:tabs>
                <w:tab w:val="center" w:pos="5737"/>
                <w:tab w:val="clear" w:pos="4153"/>
              </w:tabs>
              <w:spacing w:line="360" w:lineRule="auto"/>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《危害控制计划》中依据标准有过期的</w:t>
            </w:r>
          </w:p>
        </w:tc>
        <w:tc>
          <w:tcPr>
            <w:tcW w:w="1978"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ISO22000:2018</w:t>
            </w:r>
          </w:p>
        </w:tc>
        <w:tc>
          <w:tcPr>
            <w:tcW w:w="1357"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8.5</w:t>
            </w:r>
          </w:p>
        </w:tc>
        <w:tc>
          <w:tcPr>
            <w:tcW w:w="934"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8" w:type="dxa"/>
            <w:vAlign w:val="center"/>
          </w:tcPr>
          <w:p>
            <w:pPr>
              <w:pStyle w:val="6"/>
              <w:pBdr>
                <w:bottom w:val="none" w:color="auto" w:sz="0" w:space="0"/>
              </w:pBdr>
              <w:ind w:right="600"/>
              <w:jc w:val="both"/>
              <w:rPr>
                <w:rFonts w:hint="default" w:ascii="Times New Roman" w:hAnsi="Times New Roman" w:eastAsia="宋体" w:cs="Times New Roman"/>
                <w:color w:val="000000"/>
                <w:sz w:val="21"/>
                <w:szCs w:val="21"/>
                <w:lang w:val="en-US" w:eastAsia="zh-CN"/>
              </w:rPr>
            </w:pPr>
          </w:p>
        </w:tc>
        <w:tc>
          <w:tcPr>
            <w:tcW w:w="4911" w:type="dxa"/>
            <w:gridSpan w:val="2"/>
            <w:vAlign w:val="center"/>
          </w:tcPr>
          <w:p>
            <w:pPr>
              <w:pStyle w:val="6"/>
              <w:numPr>
                <w:ilvl w:val="0"/>
                <w:numId w:val="0"/>
              </w:numPr>
              <w:pBdr>
                <w:bottom w:val="none" w:color="auto" w:sz="0" w:space="0"/>
              </w:pBdr>
              <w:tabs>
                <w:tab w:val="center" w:pos="5737"/>
                <w:tab w:val="clear" w:pos="4153"/>
              </w:tabs>
              <w:spacing w:line="360" w:lineRule="auto"/>
              <w:jc w:val="both"/>
              <w:rPr>
                <w:rFonts w:hint="default" w:ascii="Times New Roman" w:hAnsi="Times New Roman" w:cs="Times New Roman"/>
                <w:color w:val="000000"/>
                <w:sz w:val="21"/>
                <w:szCs w:val="21"/>
                <w:lang w:val="en-US" w:eastAsia="zh-CN"/>
              </w:rPr>
            </w:pPr>
          </w:p>
        </w:tc>
        <w:tc>
          <w:tcPr>
            <w:tcW w:w="1978"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p>
        </w:tc>
        <w:tc>
          <w:tcPr>
            <w:tcW w:w="1357"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p>
        </w:tc>
        <w:tc>
          <w:tcPr>
            <w:tcW w:w="934"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91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78" w:type="dxa"/>
            <w:vAlign w:val="center"/>
          </w:tcPr>
          <w:p>
            <w:pPr>
              <w:pStyle w:val="6"/>
              <w:pBdr>
                <w:bottom w:val="none" w:color="auto" w:sz="0" w:space="0"/>
              </w:pBdr>
              <w:ind w:right="600"/>
              <w:jc w:val="both"/>
              <w:rPr>
                <w:color w:val="000000"/>
                <w:sz w:val="21"/>
                <w:szCs w:val="21"/>
              </w:rPr>
            </w:pPr>
          </w:p>
        </w:tc>
        <w:tc>
          <w:tcPr>
            <w:tcW w:w="1357"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91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78" w:type="dxa"/>
            <w:vAlign w:val="center"/>
          </w:tcPr>
          <w:p>
            <w:pPr>
              <w:pStyle w:val="6"/>
              <w:pBdr>
                <w:bottom w:val="none" w:color="auto" w:sz="0" w:space="0"/>
              </w:pBdr>
              <w:ind w:right="600"/>
              <w:jc w:val="both"/>
              <w:rPr>
                <w:color w:val="000000"/>
                <w:sz w:val="21"/>
                <w:szCs w:val="21"/>
              </w:rPr>
            </w:pPr>
          </w:p>
        </w:tc>
        <w:tc>
          <w:tcPr>
            <w:tcW w:w="1357"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1312" behindDoc="1" locked="0" layoutInCell="1" allowOverlap="1">
                  <wp:simplePos x="0" y="0"/>
                  <wp:positionH relativeFrom="column">
                    <wp:posOffset>-635</wp:posOffset>
                  </wp:positionH>
                  <wp:positionV relativeFrom="paragraph">
                    <wp:posOffset>33655</wp:posOffset>
                  </wp:positionV>
                  <wp:extent cx="1577340" cy="737870"/>
                  <wp:effectExtent l="0" t="0" r="0" b="11430"/>
                  <wp:wrapTight wrapText="bothSides">
                    <wp:wrapPolygon>
                      <wp:start x="16348" y="744"/>
                      <wp:lineTo x="4348" y="1115"/>
                      <wp:lineTo x="1217" y="2231"/>
                      <wp:lineTo x="1217" y="6692"/>
                      <wp:lineTo x="2609" y="12640"/>
                      <wp:lineTo x="2609" y="18960"/>
                      <wp:lineTo x="4522" y="20448"/>
                      <wp:lineTo x="4870" y="21191"/>
                      <wp:lineTo x="5565" y="21191"/>
                      <wp:lineTo x="16870" y="20448"/>
                      <wp:lineTo x="20174" y="20076"/>
                      <wp:lineTo x="20000" y="18589"/>
                      <wp:lineTo x="21043" y="12640"/>
                      <wp:lineTo x="21217" y="9294"/>
                      <wp:lineTo x="20696" y="7435"/>
                      <wp:lineTo x="19304" y="6692"/>
                      <wp:lineTo x="17217" y="744"/>
                      <wp:lineTo x="16348" y="744"/>
                    </wp:wrapPolygon>
                  </wp:wrapTight>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8"/>
                          <a:stretch>
                            <a:fillRect/>
                          </a:stretch>
                        </pic:blipFill>
                        <pic:spPr>
                          <a:xfrm>
                            <a:off x="0" y="0"/>
                            <a:ext cx="1577340" cy="73787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eastAsia="宋体"/>
                <w:b/>
                <w:bCs/>
                <w:color w:val="000000"/>
                <w:spacing w:val="-8"/>
                <w:szCs w:val="21"/>
                <w:lang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r>
              <w:rPr>
                <w:rFonts w:hint="eastAsia" w:ascii="宋体" w:hAnsi="宋体"/>
                <w:b/>
                <w:bCs/>
                <w:color w:val="000000"/>
                <w:spacing w:val="-8"/>
                <w:szCs w:val="21"/>
                <w:lang w:eastAsia="zh-CN"/>
              </w:rPr>
              <w:t>】</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2336" behindDoc="1" locked="0" layoutInCell="1" allowOverlap="1">
                  <wp:simplePos x="0" y="0"/>
                  <wp:positionH relativeFrom="column">
                    <wp:posOffset>765175</wp:posOffset>
                  </wp:positionH>
                  <wp:positionV relativeFrom="paragraph">
                    <wp:posOffset>47625</wp:posOffset>
                  </wp:positionV>
                  <wp:extent cx="1577340" cy="737870"/>
                  <wp:effectExtent l="0" t="0" r="0" b="11430"/>
                  <wp:wrapTight wrapText="bothSides">
                    <wp:wrapPolygon>
                      <wp:start x="16348" y="744"/>
                      <wp:lineTo x="4348" y="1115"/>
                      <wp:lineTo x="1217" y="2231"/>
                      <wp:lineTo x="1217" y="6692"/>
                      <wp:lineTo x="2609" y="12640"/>
                      <wp:lineTo x="2609" y="18960"/>
                      <wp:lineTo x="4522" y="20448"/>
                      <wp:lineTo x="4870" y="21191"/>
                      <wp:lineTo x="5565" y="21191"/>
                      <wp:lineTo x="16870" y="20448"/>
                      <wp:lineTo x="20174" y="20076"/>
                      <wp:lineTo x="20000" y="18589"/>
                      <wp:lineTo x="21043" y="12640"/>
                      <wp:lineTo x="21217" y="9294"/>
                      <wp:lineTo x="20696" y="7435"/>
                      <wp:lineTo x="19304" y="6692"/>
                      <wp:lineTo x="17217" y="744"/>
                      <wp:lineTo x="16348" y="744"/>
                    </wp:wrapPolygon>
                  </wp:wrapTight>
                  <wp:docPr id="3" name="图片 3"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1"/>
                          <pic:cNvPicPr>
                            <a:picLocks noChangeAspect="1"/>
                          </pic:cNvPicPr>
                        </pic:nvPicPr>
                        <pic:blipFill>
                          <a:blip r:embed="rId8"/>
                          <a:stretch>
                            <a:fillRect/>
                          </a:stretch>
                        </pic:blipFill>
                        <pic:spPr>
                          <a:xfrm>
                            <a:off x="0" y="0"/>
                            <a:ext cx="1577340" cy="73787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EC1B1597"/>
    <w:multiLevelType w:val="singleLevel"/>
    <w:tmpl w:val="EC1B1597"/>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06FE5365"/>
    <w:rsid w:val="0AAE262A"/>
    <w:rsid w:val="101D69C9"/>
    <w:rsid w:val="66C23782"/>
    <w:rsid w:val="681744E0"/>
    <w:rsid w:val="6B587B21"/>
    <w:rsid w:val="772245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4813</Words>
  <Characters>5419</Characters>
  <Lines>67</Lines>
  <Paragraphs>18</Paragraphs>
  <TotalTime>3</TotalTime>
  <ScaleCrop>false</ScaleCrop>
  <LinksUpToDate>false</LinksUpToDate>
  <CharactersWithSpaces>5695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2022-05-28T09:44:36Z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