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石家庄创能煤矿机械制造有限公司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石家庄高新区长江大道238号宏昌科技园1楼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石家庄市经济技术开发区北席村东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赵利亚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13028633461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资质范围内煤矿机械设备的生产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18.05.02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eastAsia="黑体"/>
                <w:color w:val="auto"/>
                <w:sz w:val="28"/>
                <w:szCs w:val="28"/>
                <w:shd w:val="clear" w:color="auto" w:fill="auto"/>
                <w:lang w:eastAsia="zh-CN"/>
              </w:rPr>
              <w:t>CN</w:t>
            </w:r>
            <w:r>
              <w:rPr>
                <w:rFonts w:hint="eastAsia"/>
                <w:color w:val="auto"/>
                <w:sz w:val="28"/>
                <w:szCs w:val="28"/>
                <w:shd w:val="clear" w:color="auto" w:fill="auto"/>
                <w:lang w:eastAsia="zh-CN"/>
              </w:rPr>
              <w:t>/SC-201</w:t>
            </w:r>
            <w:r>
              <w:rPr>
                <w:rFonts w:hint="eastAsia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9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2022年05月16日 上午至2022年05月17日 上午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1.5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bookmarkStart w:id="26" w:name="_GoBack"/>
            <w:bookmarkEnd w:id="26"/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03300" cy="368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87"/>
        <w:gridCol w:w="920"/>
        <w:gridCol w:w="3494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-8:45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94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2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9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部门岗位、职责和权限； 部门目标和实现计划；人员；组织的知识；能力；意识；沟通；成文信息；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分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析和评价；内部审核；不合格和纠正措施。 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49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-14:30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hint="eastAsia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94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92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494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部门职责和权限；目标实现情况；与产品和服务有关要求的确定；外部提供过程、产品及产品的控制；顾客财产；交付后活动；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顾客满意； 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9.1.2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03-17</w:t>
            </w:r>
          </w:p>
        </w:tc>
        <w:tc>
          <w:tcPr>
            <w:tcW w:w="1387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30-12:15</w:t>
            </w:r>
          </w:p>
        </w:tc>
        <w:tc>
          <w:tcPr>
            <w:tcW w:w="9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生产部</w:t>
            </w:r>
          </w:p>
        </w:tc>
        <w:tc>
          <w:tcPr>
            <w:tcW w:w="349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5.3/6.2/7.1.3/7.1.4/7.1.5/8.1/8.3/8.5.1/8.5.2/8.5.4/8.5.6/8.6/8.7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15-12:30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94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A5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2022-05-15T22:33:38Z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