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冯力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安涛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庆阳诚关物业服务集团有限公司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2022年05月14日 上午至2022年05月14日 下午</w:t>
            </w:r>
            <w:bookmarkEnd w:id="1"/>
            <w:r>
              <w:rPr>
                <w:rFonts w:hint="eastAsia"/>
                <w:b/>
                <w:sz w:val="20"/>
              </w:rPr>
              <w:t>(共</w:t>
            </w:r>
            <w:bookmarkStart w:id="2" w:name="审核天数"/>
            <w:r>
              <w:rPr>
                <w:rFonts w:hint="eastAsia"/>
                <w:b/>
                <w:sz w:val="20"/>
              </w:rPr>
              <w:t>1.0</w:t>
            </w:r>
            <w:bookmarkEnd w:id="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2022.5.14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F743212"/>
    <w:rsid w:val="7AFD40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2022-05-14T01:11:53Z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