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49"/>
        <w:gridCol w:w="1288"/>
        <w:gridCol w:w="296"/>
        <w:gridCol w:w="1110"/>
        <w:gridCol w:w="168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庆阳诚关物业服务集团有限公司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冯力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公司提供服务的业主和住户，以及其他服务对象即</w:t>
            </w:r>
            <w:r>
              <w:rPr>
                <w:rFonts w:hint="eastAsia" w:ascii="宋体" w:hAnsi="宋体"/>
                <w:sz w:val="21"/>
                <w:szCs w:val="21"/>
              </w:rPr>
              <w:t>包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含了</w:t>
            </w:r>
            <w:r>
              <w:rPr>
                <w:rFonts w:hint="eastAsia" w:ascii="宋体" w:hAnsi="宋体"/>
                <w:sz w:val="21"/>
                <w:szCs w:val="21"/>
              </w:rPr>
              <w:t>绿化、保洁、保安、消防、设施维护等的物业管理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物业管理条例、物业服务收费管理办法、住宅室内装饰装修工程质量验收规范、前期物业管理招标投标管理暂行办法、城市供水水质管理规定、机动车停放服务收费管理办法、普通住宅小区物业管理服务等级标准、物业服务企业资质管理办法、变配电室安全管理规范、服务标准化工作指南、商业服务业顾客满意度测评规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pacing w:val="4"/>
                <w:sz w:val="21"/>
                <w:szCs w:val="21"/>
              </w:rPr>
              <w:t>公共建筑/各种土建零修、给排水维修及保养、电气系统设备维修保养等基础知识。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147320</wp:posOffset>
                  </wp:positionV>
                  <wp:extent cx="410210" cy="315595"/>
                  <wp:effectExtent l="0" t="0" r="8890" b="1905"/>
                  <wp:wrapNone/>
                  <wp:docPr id="1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49"/>
        <w:gridCol w:w="1288"/>
        <w:gridCol w:w="296"/>
        <w:gridCol w:w="1110"/>
        <w:gridCol w:w="168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庆阳诚关物业服务集团有限公司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冯力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火灾、固废排放等基本符合要求。制定有目标指标和管理方案及应急预案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GB8978-1996污水综合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pacing w:val="4"/>
                <w:sz w:val="21"/>
                <w:szCs w:val="21"/>
              </w:rPr>
              <w:t>公共建筑/各种土建零修、给排水维修及保养、电气系统设备维修保养等基础知识。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135255</wp:posOffset>
                  </wp:positionV>
                  <wp:extent cx="410210" cy="315595"/>
                  <wp:effectExtent l="0" t="0" r="8890" b="1905"/>
                  <wp:wrapNone/>
                  <wp:docPr id="3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949"/>
        <w:gridCol w:w="1288"/>
        <w:gridCol w:w="296"/>
        <w:gridCol w:w="1110"/>
        <w:gridCol w:w="168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庆阳诚关物业服务集团有限公司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3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Q：35.15.00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E：35.15.00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O：35.15.00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128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1406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冯力</w:t>
            </w:r>
          </w:p>
        </w:tc>
        <w:tc>
          <w:tcPr>
            <w:tcW w:w="168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line="400" w:lineRule="exact"/>
              <w:textAlignment w:val="baseline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市场开发—合同评审--签订合同—组织人员—岗前培训—进场交接—开展服务—过程监督检查—满意度调查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中暑、交通事故、触电突发事件、高空作业、疫情防控等基本符合要求。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/>
                <w:szCs w:val="21"/>
              </w:rPr>
              <w:t>制定目标指标和管理方案及应急预案。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</w:t>
            </w:r>
            <w:bookmarkStart w:id="2" w:name="_GoBack"/>
            <w:bookmarkEnd w:id="2"/>
            <w:r>
              <w:rPr>
                <w:rFonts w:hint="eastAsia" w:eastAsia="宋体"/>
                <w:b/>
                <w:sz w:val="20"/>
                <w:lang w:val="en-GB" w:eastAsia="zh-CN"/>
              </w:rPr>
              <w:t>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pacing w:val="4"/>
                <w:sz w:val="21"/>
                <w:szCs w:val="21"/>
              </w:rPr>
              <w:t>公共建筑/各种土建零修、给排水维修及保养、电气系统设备维修保养等基础知识。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135255</wp:posOffset>
                  </wp:positionV>
                  <wp:extent cx="410210" cy="315595"/>
                  <wp:effectExtent l="0" t="0" r="8890" b="1905"/>
                  <wp:wrapNone/>
                  <wp:docPr id="4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31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2022.5.14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1E2A61BD"/>
    <w:rsid w:val="3C015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3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2022-05-14T00:59:56Z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