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6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43040" cy="9267190"/>
            <wp:effectExtent l="0" t="0" r="10160" b="3810"/>
            <wp:docPr id="3" name="图片 3" descr="质量安全(正式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质量安全(正式)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3040" cy="926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6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841"/>
        <w:gridCol w:w="107"/>
        <w:gridCol w:w="884"/>
        <w:gridCol w:w="836"/>
        <w:gridCol w:w="637"/>
        <w:gridCol w:w="1083"/>
        <w:gridCol w:w="708"/>
        <w:gridCol w:w="191"/>
        <w:gridCol w:w="354"/>
        <w:gridCol w:w="467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河北恒拓通信设备有限公司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任丘市经济技术开发区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8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解晶</w:t>
            </w:r>
            <w:bookmarkEnd w:id="3"/>
          </w:p>
        </w:tc>
        <w:tc>
          <w:tcPr>
            <w:tcW w:w="147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18689004444</w:t>
            </w:r>
            <w:bookmarkEnd w:id="4"/>
          </w:p>
        </w:tc>
        <w:tc>
          <w:tcPr>
            <w:tcW w:w="254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8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0669-2019-QO-2022</w:t>
            </w:r>
            <w:bookmarkEnd w:id="5"/>
          </w:p>
        </w:tc>
        <w:tc>
          <w:tcPr>
            <w:tcW w:w="14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24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4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Q：电力铁附件、电力金具、井圈、井盖、标志牌、塑料管材、钢绞线的生产及线路辅助材料、螺栓、通信抱杆、变压器、绝缘子、钢管、配电箱的销售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O：电力铁附件、电力金具、井圈、井盖、标志牌、塑料管材、钢绞线的生产及线路辅助材料、螺栓、通信抱杆、变压器、绝缘子、钢管、配电箱的销售</w:t>
            </w:r>
            <w:bookmarkEnd w:id="16"/>
          </w:p>
        </w:tc>
        <w:tc>
          <w:tcPr>
            <w:tcW w:w="54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88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Q：14.02.01;17.11.03;17.12.03;17.12.05;29.12.00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O：14.02.01;17.11.03;17.12.03;17.12.05;29.12.00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9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1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3" w:name="审核日期"/>
            <w:r>
              <w:rPr>
                <w:rFonts w:hint="eastAsia"/>
                <w:b/>
                <w:sz w:val="20"/>
              </w:rPr>
              <w:t>2022年05月13日 上午至2022年05月14日 下午</w:t>
            </w:r>
            <w:bookmarkEnd w:id="23"/>
            <w:r>
              <w:rPr>
                <w:rFonts w:hint="eastAsia"/>
                <w:b/>
                <w:sz w:val="20"/>
              </w:rPr>
              <w:t>(共</w:t>
            </w:r>
            <w:bookmarkStart w:id="24" w:name="审核天数"/>
            <w:r>
              <w:rPr>
                <w:rFonts w:hint="eastAsia"/>
                <w:b/>
                <w:sz w:val="20"/>
              </w:rPr>
              <w:t>2.0</w:t>
            </w:r>
            <w:bookmarkEnd w:id="2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3144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3144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Q:14.02.01,17.11.03,17.12.03,17.12.05,29.12.00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O:14.02.01,17.11.03,17.12.03,17.12.05,29.12.00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405130</wp:posOffset>
                  </wp:positionV>
                  <wp:extent cx="1032510" cy="497205"/>
                  <wp:effectExtent l="0" t="0" r="0" b="0"/>
                  <wp:wrapNone/>
                  <wp:docPr id="1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</w:rPr>
              <w:t>审核组长</w:t>
            </w: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李凤娟</w:t>
            </w:r>
            <w:bookmarkEnd w:id="25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2022.5.11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2022.5.11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2022.5.11</w:t>
            </w:r>
          </w:p>
        </w:tc>
      </w:tr>
    </w:tbl>
    <w:p/>
    <w:p/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09"/>
        <w:gridCol w:w="637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2022.5.13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；合规性评价；监视和测量总则；管理评审；总则；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资质、范围的确认；相关方投诉；上次不符合项的验证；获证后证书使用情况等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组织的知识；人员；能力、培训、意识；沟通；员工的参与和协商；文件化信息；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运行策划和控制；应急准备和响应；法律法规要求；绩效的监视和测量；合规性评价；不合格及纠正措施；内部审核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Q7.1.2/7.1.6；O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2022.5.14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部：组织的岗位、职责权限；目标；基础设施；监视和测量资源；运行环境；运行的策划和控制；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生产和服务提供的控制；变更的控制；产品和服务的放行；不合格输出的控制；危险源辨识、风险评价和控制措施的确定；应急准备和响应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组织的岗位、职责权限；目标、指标管理方案；危险源识别评价；运行的策划和控制；产品和服务要求；外部提供的过程、产品和服务的控制；生产和服务提供的控制；产品和服务的放行；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AC578C1"/>
    <w:rsid w:val="71684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1326</Words>
  <Characters>2066</Characters>
  <Lines>37</Lines>
  <Paragraphs>10</Paragraphs>
  <TotalTime>0</TotalTime>
  <ScaleCrop>false</ScaleCrop>
  <LinksUpToDate>false</LinksUpToDate>
  <CharactersWithSpaces>2100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2022-05-19T07:42:24Z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