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0454-2022-E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射洪泳贞包装有限公司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射洪泳贞包装有限公司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四川省射洪市经济开发区河东大道4号5幢1层5号</w:t>
            </w:r>
            <w:bookmarkEnd w:id="6"/>
          </w:p>
        </w:tc>
        <w:tc>
          <w:tcPr>
            <w:tcW w:w="1242" w:type="dxa"/>
            <w:vMerge w:val="restart"/>
            <w:vAlign w:val="center"/>
          </w:tcPr>
          <w:p>
            <w:r>
              <w:rPr>
                <w:rFonts w:hint="eastAsia"/>
              </w:rPr>
              <w:t>邮编</w:t>
            </w:r>
          </w:p>
        </w:tc>
        <w:tc>
          <w:tcPr>
            <w:tcW w:w="1771" w:type="dxa"/>
          </w:tcPr>
          <w:p>
            <w:bookmarkStart w:id="7" w:name="注册邮编"/>
            <w:r>
              <w:t>629200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四川省遂宁市射洪市经济开发区河东大道4号5幢1层5号</w:t>
            </w:r>
            <w:bookmarkEnd w:id="8"/>
          </w:p>
        </w:tc>
        <w:tc>
          <w:tcPr>
            <w:tcW w:w="1242" w:type="dxa"/>
            <w:vMerge w:val="continue"/>
            <w:vAlign w:val="center"/>
          </w:tcPr>
          <w:p/>
        </w:tc>
        <w:tc>
          <w:tcPr>
            <w:tcW w:w="1771" w:type="dxa"/>
          </w:tcPr>
          <w:p>
            <w:bookmarkStart w:id="9" w:name="办公邮编"/>
            <w:r>
              <w:t>629200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李君</w:t>
            </w:r>
            <w:bookmarkEnd w:id="10"/>
          </w:p>
        </w:tc>
        <w:tc>
          <w:tcPr>
            <w:tcW w:w="1313" w:type="dxa"/>
            <w:vAlign w:val="center"/>
          </w:tcPr>
          <w:p>
            <w:r>
              <w:rPr>
                <w:rFonts w:hint="eastAsia"/>
              </w:rPr>
              <w:t>电话.</w:t>
            </w:r>
          </w:p>
        </w:tc>
        <w:tc>
          <w:tcPr>
            <w:tcW w:w="2180" w:type="dxa"/>
            <w:vAlign w:val="center"/>
          </w:tcPr>
          <w:p>
            <w:bookmarkStart w:id="11" w:name="联系人电话"/>
            <w:r>
              <w:t>18081920790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华建</w:t>
            </w:r>
            <w:bookmarkEnd w:id="13"/>
          </w:p>
        </w:tc>
        <w:tc>
          <w:tcPr>
            <w:tcW w:w="1313" w:type="dxa"/>
            <w:vAlign w:val="center"/>
          </w:tcPr>
          <w:p>
            <w:r>
              <w:rPr>
                <w:rFonts w:hint="eastAsia"/>
              </w:rPr>
              <w:t>管理者代表</w:t>
            </w:r>
          </w:p>
        </w:tc>
        <w:tc>
          <w:tcPr>
            <w:tcW w:w="2180" w:type="dxa"/>
          </w:tcPr>
          <w:p>
            <w:bookmarkStart w:id="14" w:name="管理者代表"/>
            <w:r>
              <w:t>李君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color w:val="000000"/>
                <w:szCs w:val="18"/>
              </w:rPr>
            </w:pPr>
            <w:r>
              <w:rPr>
                <w:rFonts w:hint="eastAsia"/>
                <w:lang w:val="en-US" w:eastAsia="zh-CN"/>
              </w:rPr>
              <w:t>客户沟通——销售合同评审——签订合同——产品采购——客户验收</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2022年05月14日 上午至2022年05月15日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四川省射洪市经济开发区河东大道4号5幢1层5号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组合式防伪瓶盖销售所涉及场所的相关环境管理活动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2021年11月13日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射洪泳贞包装有限公司</w:t>
            </w:r>
            <w:r>
              <w:rPr>
                <w:rFonts w:hint="eastAsia"/>
                <w:sz w:val="21"/>
                <w:szCs w:val="21"/>
                <w:lang w:val="en-US" w:eastAsia="zh-CN"/>
              </w:rPr>
              <w:t>/</w:t>
            </w:r>
            <w:r>
              <w:rPr>
                <w:sz w:val="21"/>
                <w:szCs w:val="21"/>
              </w:rPr>
              <w:t>四川省射洪市经济开发区河东大道4号5幢1层5号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四川省遂宁市射洪市经济开发区河东大道4号5幢1层5号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45</w:t>
            </w:r>
          </w:p>
        </w:tc>
        <w:tc>
          <w:tcPr>
            <w:tcW w:w="2803" w:type="dxa"/>
            <w:vAlign w:val="center"/>
          </w:tcPr>
          <w:p>
            <w:pPr>
              <w:pStyle w:val="23"/>
              <w:rPr>
                <w:rFonts w:ascii="Times New Roman" w:hAnsi="Times New Roman" w:eastAsia="黑体" w:cs="Arial"/>
                <w:kern w:val="2"/>
                <w:sz w:val="21"/>
                <w:szCs w:val="21"/>
                <w:lang w:val="en-US" w:eastAsia="ja-JP" w:bidi="ar-SA"/>
              </w:rPr>
            </w:pPr>
            <w:r>
              <w:t>组合式防伪瓶盖销售所涉及场所的相关环境管理活动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sz w:val="21"/>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2019-N1EMS-1242345</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2022年05月15日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A3"/>
            </w:r>
            <w:r>
              <w:rPr>
                <w:rFonts w:hint="eastAsia"/>
              </w:rPr>
              <w:t>检验</w:t>
            </w:r>
            <w:r>
              <w:rPr>
                <w:rFonts w:hint="eastAsia"/>
              </w:rPr>
              <w:sym w:font="Wingdings 2" w:char="00A3"/>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A3"/>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w:t>
            </w:r>
            <w:r>
              <w:rPr>
                <w:rFonts w:hint="eastAsia"/>
              </w:rPr>
              <w:sym w:font="Wingdings 2" w:char="00A3"/>
            </w:r>
            <w:r>
              <w:rPr>
                <w:rFonts w:hint="eastAsia"/>
              </w:rPr>
              <w:t>生产/服务过程</w:t>
            </w:r>
            <w:r>
              <w:rPr>
                <w:rFonts w:hint="eastAsia"/>
              </w:rPr>
              <w:sym w:font="Wingdings 2" w:char="00A3"/>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t"/>
              <w:rPr>
                <w:rFonts w:hint="eastAsia"/>
              </w:rPr>
            </w:pPr>
            <w:r>
              <w:rPr>
                <w:rFonts w:hint="eastAsia"/>
              </w:rPr>
              <w:t>最高管理者制定了文件化的管理体系方针：</w:t>
            </w:r>
          </w:p>
          <w:p>
            <w:pPr>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坚持走可持续发展之路，倡导绿色环保思想，遵守法律法规，从产品生产到服务的全过程中，实行污染预防和持续改进。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A3"/>
            </w:r>
            <w:r>
              <w:rPr>
                <w:rFonts w:hint="eastAsia"/>
              </w:rPr>
              <w:t>废水排放</w:t>
            </w:r>
            <w:r>
              <w:rPr>
                <w:rFonts w:hint="eastAsia"/>
              </w:rPr>
              <w:sym w:font="Wingdings 2" w:char="00A3"/>
            </w:r>
            <w:r>
              <w:rPr>
                <w:rFonts w:hint="eastAsia"/>
              </w:rPr>
              <w:t>废气排放</w:t>
            </w:r>
            <w:r>
              <w:rPr>
                <w:rFonts w:hint="eastAsia"/>
              </w:rPr>
              <w:sym w:font="Wingdings 2" w:char="00A3"/>
            </w:r>
            <w:r>
              <w:rPr>
                <w:rFonts w:hint="eastAsia"/>
              </w:rPr>
              <w:t>粉尘排放</w:t>
            </w:r>
            <w:r>
              <w:rPr>
                <w:rFonts w:hint="eastAsia"/>
              </w:rPr>
              <w:sym w:font="Wingdings 2" w:char="00A3"/>
            </w:r>
            <w:r>
              <w:rPr>
                <w:rFonts w:hint="eastAsia"/>
              </w:rPr>
              <w:t>危废排放</w:t>
            </w:r>
            <w:r>
              <w:rPr>
                <w:rFonts w:hint="eastAsia"/>
              </w:rPr>
              <w:sym w:font="Wingdings 2" w:char="00A3"/>
            </w:r>
            <w:r>
              <w:rPr>
                <w:rFonts w:hint="eastAsia"/>
              </w:rPr>
              <w:t>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A3"/>
            </w: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A3"/>
            </w:r>
            <w:r>
              <w:rPr>
                <w:rFonts w:hint="eastAsia"/>
              </w:rPr>
              <w:t>设备降噪</w:t>
            </w:r>
            <w:r>
              <w:rPr>
                <w:rFonts w:hint="eastAsia"/>
              </w:rPr>
              <w:sym w:font="Wingdings 2" w:char="00A3"/>
            </w:r>
            <w:r>
              <w:rPr>
                <w:rFonts w:hint="eastAsia"/>
              </w:rPr>
              <w:t>危废合法处置</w:t>
            </w:r>
            <w:r>
              <w:rPr>
                <w:rFonts w:hint="eastAsia"/>
              </w:rPr>
              <w:sym w:font="Wingdings 2" w:char="00A3"/>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A3"/>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auto"/>
                      <w:sz w:val="21"/>
                      <w:szCs w:val="21"/>
                      <w:lang w:val="en-US" w:eastAsia="zh-CN"/>
                    </w:rPr>
                    <w:t>办公、生活废弃物分类收集处理率100%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宋体" w:hAnsi="宋体" w:eastAsia="宋体" w:cs="Times New Roman"/>
                      <w:color w:val="000000"/>
                      <w:kern w:val="2"/>
                      <w:sz w:val="21"/>
                      <w:szCs w:val="24"/>
                      <w:lang w:val="en-US" w:eastAsia="zh-CN" w:bidi="ar-SA"/>
                    </w:rPr>
                  </w:pPr>
                  <w:r>
                    <w:rPr>
                      <w:rFonts w:hint="eastAsia" w:ascii="宋体" w:hAnsi="宋体"/>
                      <w:color w:val="000000"/>
                      <w:lang w:eastAsia="zh-CN"/>
                    </w:rPr>
                    <w:t>火灾事故为零</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宋体" w:hAnsi="宋体" w:eastAsia="宋体" w:cs="Times New Roman"/>
                      <w:color w:val="auto"/>
                      <w:sz w:val="21"/>
                      <w:szCs w:val="21"/>
                    </w:rPr>
                    <w:t>环境扰民投诉为0</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建立预案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组织应确定、提</w:t>
            </w:r>
            <w:r>
              <w:rPr>
                <w:rFonts w:hint="eastAsia" w:ascii="Times New Roman" w:hAnsi="Times New Roman" w:eastAsia="宋体" w:cs="Times New Roman"/>
              </w:rPr>
              <w:t>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300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主要生产设备有：</w:t>
            </w:r>
            <w:r>
              <w:rPr>
                <w:rFonts w:hint="eastAsia" w:ascii="宋体" w:hAnsi="宋体"/>
                <w:color w:val="auto"/>
                <w:szCs w:val="21"/>
              </w:rPr>
              <w:t>电脑、</w:t>
            </w:r>
            <w:r>
              <w:rPr>
                <w:rFonts w:hint="eastAsia" w:ascii="宋体" w:hAnsi="宋体"/>
                <w:color w:val="auto"/>
                <w:szCs w:val="21"/>
                <w:lang w:val="en-US" w:eastAsia="zh-CN"/>
              </w:rPr>
              <w:t>打印机、投影仪</w:t>
            </w:r>
            <w:r>
              <w:rPr>
                <w:rFonts w:hint="eastAsia" w:ascii="宋体" w:hAnsi="宋体"/>
                <w:color w:val="auto"/>
                <w:szCs w:val="21"/>
              </w:rPr>
              <w:t>等</w:t>
            </w:r>
            <w:r>
              <w:rPr>
                <w:rFonts w:hint="eastAsia" w:ascii="宋体" w:hAnsi="宋体"/>
                <w:color w:val="auto"/>
                <w:szCs w:val="21"/>
                <w:lang w:val="en-US" w:eastAsia="zh-CN"/>
              </w:rPr>
              <w:t>办公用品</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主要环保设备有：</w:t>
            </w:r>
            <w:r>
              <w:rPr>
                <w:rFonts w:hint="eastAsia" w:ascii="Times New Roman" w:hAnsi="Times New Roman" w:eastAsia="宋体" w:cs="Times New Roman"/>
                <w:lang w:val="en-US" w:eastAsia="zh-CN"/>
              </w:rPr>
              <w:t xml:space="preserve"> </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A3"/>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A3"/>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ascii="Times New Roman" w:hAnsi="Times New Roman" w:eastAsia="宋体" w:cs="Times New Roman"/>
              </w:rPr>
              <w:t>于</w:t>
            </w:r>
            <w:r>
              <w:rPr>
                <w:rFonts w:hint="eastAsia" w:ascii="宋体" w:hAnsi="Times New Roman" w:eastAsia="宋体" w:cs="宋体"/>
                <w:color w:val="auto"/>
                <w:sz w:val="21"/>
                <w:szCs w:val="21"/>
                <w:lang w:bidi="ar"/>
              </w:rPr>
              <w:t>2022年3月31日</w:t>
            </w:r>
            <w:r>
              <w:rPr>
                <w:rFonts w:hint="eastAsia" w:ascii="Times New Roman" w:hAnsi="Times New Roman" w:eastAsia="宋体" w:cs="Times New Roman"/>
              </w:rPr>
              <w:t>进行</w:t>
            </w:r>
            <w:r>
              <w:rPr>
                <w:rFonts w:hint="eastAsia"/>
              </w:rPr>
              <w:t>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ascii="Times New Roman" w:hAnsi="Times New Roman" w:eastAsia="宋体" w:cs="Times New Roman"/>
              </w:rPr>
              <w:t>：</w:t>
            </w:r>
            <w:r>
              <w:rPr>
                <w:rFonts w:hint="eastAsia" w:ascii="宋体" w:hAnsi="宋体" w:eastAsia="宋体" w:cs="Times New Roman"/>
                <w:color w:val="auto"/>
                <w:sz w:val="21"/>
                <w:szCs w:val="21"/>
                <w:highlight w:val="none"/>
              </w:rPr>
              <w:t>2022年3月21日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A3"/>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eastAsia" w:ascii="Times New Roman" w:hAnsi="Times New Roman" w:eastAsia="宋体" w:cs="Times New Roman"/>
              </w:rPr>
            </w:pPr>
            <w:r>
              <w:rPr>
                <w:rFonts w:hint="eastAsia"/>
              </w:rPr>
              <w:t>《环境监测报告》编号</w:t>
            </w:r>
            <w:r>
              <w:rPr>
                <w:rFonts w:hint="eastAsia" w:ascii="Times New Roman" w:hAnsi="Times New Roman" w:eastAsia="宋体" w:cs="Times New Roman"/>
              </w:rPr>
              <w:t>：</w:t>
            </w:r>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A3"/>
            </w:r>
            <w:r>
              <w:rPr>
                <w:rFonts w:hint="eastAsia"/>
              </w:rPr>
              <w:t>符合要求</w:t>
            </w:r>
            <w:r>
              <w:rPr>
                <w:rFonts w:hint="eastAsia"/>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1-2</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eastAsia="宋体" w:cs="宋体"/>
                <w:color w:val="auto"/>
                <w:sz w:val="21"/>
                <w:szCs w:val="21"/>
                <w:highlight w:val="none"/>
                <w:lang w:eastAsia="zh-CN" w:bidi="ar"/>
              </w:rPr>
              <w:t>2022年04月14日</w:t>
            </w:r>
            <w:r>
              <w:rPr>
                <w:rFonts w:hint="eastAsia"/>
              </w:rPr>
              <w:t>对组织的环境管理体系进行了评审，以确保其持续的适宜性、充分性和有效性；管理评审输入、输出均按要求提供。并对提出的改进措施进行了落实。</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10"/>
        <w:tblpPr w:leftFromText="180" w:rightFromText="180" w:vertAnchor="text" w:horzAnchor="page" w:tblpX="1074" w:tblpY="302"/>
        <w:tblOverlap w:val="never"/>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33"/>
        <w:gridCol w:w="754"/>
        <w:gridCol w:w="755"/>
        <w:gridCol w:w="754"/>
        <w:gridCol w:w="755"/>
        <w:gridCol w:w="755"/>
        <w:gridCol w:w="754"/>
        <w:gridCol w:w="755"/>
        <w:gridCol w:w="754"/>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0"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1AE3368"/>
    <w:rsid w:val="03773C2D"/>
    <w:rsid w:val="03FC4949"/>
    <w:rsid w:val="0DD64741"/>
    <w:rsid w:val="1672275E"/>
    <w:rsid w:val="1C5B5A42"/>
    <w:rsid w:val="24F44C86"/>
    <w:rsid w:val="307A6987"/>
    <w:rsid w:val="3466686B"/>
    <w:rsid w:val="373B3709"/>
    <w:rsid w:val="39C90037"/>
    <w:rsid w:val="3C067321"/>
    <w:rsid w:val="4FB82BD0"/>
    <w:rsid w:val="51714DE5"/>
    <w:rsid w:val="5640122A"/>
    <w:rsid w:val="5CEC5C67"/>
    <w:rsid w:val="617B7150"/>
    <w:rsid w:val="65856C59"/>
    <w:rsid w:val="67236729"/>
    <w:rsid w:val="676034DA"/>
    <w:rsid w:val="693071EA"/>
    <w:rsid w:val="6C4D6722"/>
    <w:rsid w:val="76CF5F86"/>
    <w:rsid w:val="79D84F88"/>
    <w:rsid w:val="7DEE3196"/>
    <w:rsid w:val="7F453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3144</Words>
  <Characters>3518</Characters>
  <Lines>150</Lines>
  <Paragraphs>42</Paragraphs>
  <TotalTime>1</TotalTime>
  <ScaleCrop>false</ScaleCrop>
  <LinksUpToDate>false</LinksUpToDate>
  <CharactersWithSpaces>3546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2022-05-13T09:32:03Z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