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76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厦门市豪丰盛农产品有限公司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中国(福建)自由贸易试验区厦门片区高殿社区高崎社3502-113号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福建省中国(福建)自由贸易试验区厦门片区高殿社区高崎社3502-113号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蔡熟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13850071480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蔡熟（总经理）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13850071480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1667454569@qq.com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1091-2021-F-2022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6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05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05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6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05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5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位于福建省中国(福建)自由贸易试验区厦门片区高殿社区高崎社3502-113号厦门市豪丰盛农产品有限公司分拣区的农副产品（果蔬、鲜畜禽肉、水产品）的销售、预包装食品（粮油、调味品、肉类冻品）的销售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FI-2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2022年09月26日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至2022年09月26日 下午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05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5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bookmarkStart w:id="36" w:name="_GoBack"/>
            <w:r>
              <w:rPr>
                <w:sz w:val="20"/>
                <w:lang w:val="de-DE"/>
              </w:rPr>
              <w:t>2020-N1FSMS-1232380</w:t>
            </w:r>
            <w:bookmarkEnd w:id="36"/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9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16" w:type="dxa"/>
            <w:vAlign w:val="center"/>
          </w:tcPr>
          <w:p/>
        </w:tc>
        <w:tc>
          <w:tcPr>
            <w:tcW w:w="97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pPr w:leftFromText="180" w:rightFromText="180" w:vertAnchor="text" w:horzAnchor="page" w:tblpX="917" w:tblpY="22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930"/>
        <w:gridCol w:w="4228"/>
        <w:gridCol w:w="1813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2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2022-09-26全天</w:t>
            </w: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因素、相关方的需求和期望、风险和机遇的控制、体系策划过程、管理承诺、岗位和职责、目标管理、资源提供过程、管理评审、内外部沟通、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内部审核、不符合项和控制措施、食品安全管理体系的更新</w:t>
            </w:r>
            <w:r>
              <w:rPr>
                <w:sz w:val="21"/>
                <w:szCs w:val="21"/>
              </w:rPr>
              <w:t>持续改进、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FSMS：4.1/4.2/4.3/4.4/5.1/5.2/5.3/6.1/6.2/6.3/7.1.1/7.4/9.1.1/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sz w:val="21"/>
                <w:szCs w:val="21"/>
              </w:rPr>
              <w:t>9.3/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10.1/</w:t>
            </w:r>
            <w:r>
              <w:rPr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10：00-11:00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 w:ascii="宋体" w:hAnsi="宋体"/>
                <w:kern w:val="10"/>
                <w:sz w:val="21"/>
                <w:szCs w:val="21"/>
                <w:lang w:val="en-US" w:eastAsia="zh-CN"/>
              </w:rPr>
              <w:t>食品安全小组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外部提供的食品安全管理体系要素的控制、产品实现的策划、</w:t>
            </w:r>
            <w:r>
              <w:rPr>
                <w:sz w:val="21"/>
                <w:szCs w:val="21"/>
              </w:rPr>
              <w:t>前提方案、实施危害分析的预备步骤、危害分析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危害控制计划的</w:t>
            </w:r>
            <w:r>
              <w:rPr>
                <w:sz w:val="21"/>
                <w:szCs w:val="21"/>
              </w:rPr>
              <w:t>建立、预备信息的更新、规定前提方案和HACCP计划文件的更新、验证策划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控制措施组合的确认、食品安全管理体系的验证及结果分析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分析和评价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21"/>
                <w:szCs w:val="21"/>
                <w:lang w:val="en-US" w:eastAsia="zh-CN"/>
              </w:rPr>
              <w:t>销售部及现场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21"/>
                <w:szCs w:val="21"/>
              </w:rPr>
              <w:t>基础设施、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车辆管理、</w:t>
            </w:r>
            <w:r>
              <w:rPr>
                <w:rFonts w:hint="eastAsia"/>
                <w:sz w:val="21"/>
                <w:szCs w:val="21"/>
              </w:rPr>
              <w:t>工作环境控制、</w:t>
            </w:r>
            <w:r>
              <w:rPr>
                <w:rFonts w:cs="Arial"/>
                <w:bCs/>
                <w:sz w:val="21"/>
                <w:szCs w:val="21"/>
              </w:rPr>
              <w:t>(PRPs)</w:t>
            </w:r>
            <w:r>
              <w:rPr>
                <w:rFonts w:hint="eastAsia" w:cs="Arial"/>
                <w:bCs/>
                <w:sz w:val="21"/>
                <w:szCs w:val="21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cs="Arial"/>
                <w:sz w:val="21"/>
                <w:szCs w:val="21"/>
              </w:rPr>
              <w:t>、撤回/召回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7.1.3/7.1.4/8.2/8.3/8.4/8.5.4.5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21"/>
                <w:szCs w:val="21"/>
                <w:lang w:val="en-US" w:eastAsia="zh-CN"/>
              </w:rPr>
              <w:t>销售部及现场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21"/>
                <w:szCs w:val="21"/>
              </w:rPr>
              <w:t>基础设施、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车辆管理、</w:t>
            </w:r>
            <w:r>
              <w:rPr>
                <w:rFonts w:hint="eastAsia"/>
                <w:sz w:val="21"/>
                <w:szCs w:val="21"/>
              </w:rPr>
              <w:t>工作环境控制、</w:t>
            </w:r>
            <w:r>
              <w:rPr>
                <w:rFonts w:cs="Arial"/>
                <w:bCs/>
                <w:sz w:val="21"/>
                <w:szCs w:val="21"/>
              </w:rPr>
              <w:t>(PRPs)</w:t>
            </w:r>
            <w:r>
              <w:rPr>
                <w:rFonts w:hint="eastAsia" w:cs="Arial"/>
                <w:bCs/>
                <w:sz w:val="21"/>
                <w:szCs w:val="21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cs="Arial"/>
                <w:sz w:val="21"/>
                <w:szCs w:val="21"/>
              </w:rPr>
              <w:t>、撤回/召回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7.1.3/7.1.4/8.2/8.3/8.4/8.5.4.5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目标、职责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外部提供的过程、产品和服务的控制</w:t>
            </w:r>
            <w:r>
              <w:rPr>
                <w:rFonts w:hint="eastAsia" w:cs="Arial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测量装置的控制、产品和过程的不合格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、CCP/OPRP的实施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/>
                <w:sz w:val="21"/>
                <w:szCs w:val="21"/>
              </w:rPr>
              <w:t>/8.7/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8.5.4.5/8.9.1-8.9.4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ascii="宋体" w:hAnsi="宋体"/>
                <w:kern w:val="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10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21"/>
                <w:szCs w:val="21"/>
              </w:rPr>
              <w:t>职责、文件和记录管理、人员健康管理、持证上岗人员、人员招聘、员工培训及有效性评价</w:t>
            </w: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意识</w:t>
            </w:r>
            <w:r>
              <w:rPr>
                <w:rFonts w:hint="eastAsia" w:cs="Arial"/>
                <w:bCs/>
                <w:sz w:val="21"/>
                <w:szCs w:val="21"/>
              </w:rPr>
              <w:t>；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>F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  <w:r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  <w:t>5.3/6.2/7.1.2/</w:t>
            </w:r>
          </w:p>
          <w:p>
            <w:pPr>
              <w:pStyle w:val="14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  <w:t>7.2/7.3/7.5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93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22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813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7A209C9"/>
    <w:rsid w:val="413D17AC"/>
    <w:rsid w:val="6DB2651F"/>
    <w:rsid w:val="74410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10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2022-09-26T08:53:14Z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