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left"/>
              <w:rPr>
                <w:rFonts w:hint="eastAsia"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hint="eastAsia" w:ascii="方正仿宋简体" w:hAnsi="Times New Roman" w:eastAsia="方正仿宋简体" w:cs="Times New Roman"/>
                <w:b/>
              </w:rPr>
              <w:t>成都嘉鹏科技有限公司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left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left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任群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lef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</w:p>
          <w:p>
            <w:pPr>
              <w:spacing w:before="120" w:line="360" w:lineRule="auto"/>
              <w:jc w:val="left"/>
              <w:rPr>
                <w:rFonts w:hint="eastAsia" w:ascii="方正仿宋简体" w:hAnsi="Times New Roman" w:eastAsia="方正仿宋简体" w:cs="Times New Roman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left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lef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2022.06.20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现场查看未能提供2022年职业病危害因素检测报告，不符合GB/T 45001—2020 标准8.1.1条款c）保持和保留必要的文件化信息，以确信过程已按策划得到实施。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bookmarkStart w:id="19" w:name="_GoBack"/>
      <w:bookmarkEnd w:id="19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8A24CA0"/>
    <w:rsid w:val="4DE24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443</Words>
  <Characters>629</Characters>
  <Lines>6</Lines>
  <Paragraphs>1</Paragraphs>
  <TotalTime>1</TotalTime>
  <ScaleCrop>false</ScaleCrop>
  <LinksUpToDate>false</LinksUpToDate>
  <CharactersWithSpaces>895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2022-05-25T05:33:15Z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