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0238-2020-EO-2022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成都嘉鹏科技有限公司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成都嘉鹏科技有限公司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成都市青白江区大弯大夫东路69号附7号</w:t>
            </w:r>
            <w:bookmarkEnd w:id="6"/>
          </w:p>
        </w:tc>
        <w:tc>
          <w:tcPr>
            <w:tcW w:w="1242" w:type="dxa"/>
            <w:vMerge w:val="restart"/>
            <w:vAlign w:val="center"/>
          </w:tcPr>
          <w:p>
            <w:r>
              <w:rPr>
                <w:rFonts w:hint="eastAsia"/>
              </w:rPr>
              <w:t>邮编</w:t>
            </w:r>
          </w:p>
        </w:tc>
        <w:tc>
          <w:tcPr>
            <w:tcW w:w="1771" w:type="dxa"/>
          </w:tcPr>
          <w:p>
            <w:bookmarkStart w:id="7" w:name="注册邮编"/>
            <w:r>
              <w:t>610300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成都市青白江区大弯大夫东路69号附7号</w:t>
            </w:r>
            <w:bookmarkEnd w:id="8"/>
          </w:p>
        </w:tc>
        <w:tc>
          <w:tcPr>
            <w:tcW w:w="1242" w:type="dxa"/>
            <w:vMerge w:val="continue"/>
            <w:vAlign w:val="center"/>
          </w:tcPr>
          <w:p/>
        </w:tc>
        <w:tc>
          <w:tcPr>
            <w:tcW w:w="1771" w:type="dxa"/>
          </w:tcPr>
          <w:p>
            <w:bookmarkStart w:id="9" w:name="办公邮编"/>
            <w:r>
              <w:t>610300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姜铁军</w:t>
            </w:r>
            <w:bookmarkEnd w:id="10"/>
          </w:p>
        </w:tc>
        <w:tc>
          <w:tcPr>
            <w:tcW w:w="1313" w:type="dxa"/>
            <w:vAlign w:val="center"/>
          </w:tcPr>
          <w:p>
            <w:r>
              <w:rPr>
                <w:rFonts w:hint="eastAsia"/>
              </w:rPr>
              <w:t>电话.</w:t>
            </w:r>
          </w:p>
        </w:tc>
        <w:tc>
          <w:tcPr>
            <w:tcW w:w="2180" w:type="dxa"/>
            <w:vAlign w:val="center"/>
          </w:tcPr>
          <w:p>
            <w:bookmarkStart w:id="11" w:name="联系人电话"/>
            <w:r>
              <w:t>13072899909</w:t>
            </w:r>
            <w:bookmarkEnd w:id="11"/>
          </w:p>
        </w:tc>
        <w:tc>
          <w:tcPr>
            <w:tcW w:w="1242" w:type="dxa"/>
            <w:vAlign w:val="center"/>
          </w:tcPr>
          <w:p>
            <w:r>
              <w:rPr>
                <w:rFonts w:hint="eastAsia"/>
              </w:rPr>
              <w:t>传真</w:t>
            </w:r>
          </w:p>
        </w:tc>
        <w:tc>
          <w:tcPr>
            <w:tcW w:w="1771" w:type="dxa"/>
          </w:tcPr>
          <w:p>
            <w:bookmarkStart w:id="12" w:name="联系人传真"/>
            <w:r>
              <w:t>028-85133884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朱云先</w:t>
            </w:r>
            <w:bookmarkEnd w:id="13"/>
          </w:p>
        </w:tc>
        <w:tc>
          <w:tcPr>
            <w:tcW w:w="1313" w:type="dxa"/>
            <w:vAlign w:val="center"/>
          </w:tcPr>
          <w:p>
            <w:r>
              <w:rPr>
                <w:rFonts w:hint="eastAsia"/>
              </w:rPr>
              <w:t>管理者代表</w:t>
            </w:r>
          </w:p>
        </w:tc>
        <w:tc>
          <w:tcPr>
            <w:tcW w:w="2180" w:type="dxa"/>
          </w:tcPr>
          <w:p>
            <w:bookmarkStart w:id="14" w:name="管理者代表"/>
            <w:r>
              <w:t>姜铁军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color w:val="000000"/>
                <w:lang w:val="en-US" w:eastAsia="zh-CN"/>
              </w:rPr>
              <w:t>加料→混合搅拌→过滤（筛选）→计量灌装（包装）→入库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2022年05月24日 上午至2022年05月25日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成都市青白江区大弯大夫东路69号附7号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E：清洁剂的生产及销售（不涉及行政许可）所涉及场所的相关环境管理活动</w:t>
            </w:r>
          </w:p>
          <w:p>
            <w:r>
              <w:t>O：清洁剂的生产及销售（不涉及行政许可）所涉及场所的相关职业健康安全管理活动</w:t>
            </w:r>
          </w:p>
          <w:p>
            <w:r>
              <w:t>Q：清洁剂的生产及销售（不涉及行政许可）</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E：12.04.01</w:t>
            </w:r>
          </w:p>
          <w:p>
            <w:r>
              <w:t>O：12.04.01</w:t>
            </w:r>
          </w:p>
          <w:p>
            <w:r>
              <w:t>Q：12.04.01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21</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lang w:eastAsia="zh-CN"/>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2021年5月27日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2023年7月2日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成都嘉鹏科技有限公司</w:t>
            </w:r>
            <w:r>
              <w:rPr>
                <w:rFonts w:hint="eastAsia"/>
                <w:sz w:val="21"/>
                <w:szCs w:val="21"/>
                <w:lang w:val="en-US" w:eastAsia="zh-CN"/>
              </w:rPr>
              <w:t>/</w:t>
            </w:r>
            <w:r>
              <w:rPr>
                <w:rFonts w:asciiTheme="minorEastAsia" w:hAnsiTheme="minorEastAsia" w:eastAsiaTheme="minorEastAsia"/>
                <w:sz w:val="20"/>
              </w:rPr>
              <w:t>成都市青白江区大弯大夫东路69号附7号</w:t>
            </w:r>
          </w:p>
        </w:tc>
        <w:tc>
          <w:tcPr>
            <w:tcW w:w="2267" w:type="dxa"/>
          </w:tcPr>
          <w:p>
            <w:pPr>
              <w:rPr>
                <w:lang w:val="de-DE" w:eastAsia="ja-JP"/>
              </w:rPr>
            </w:pPr>
            <w:r>
              <w:rPr>
                <w:rFonts w:asciiTheme="minorEastAsia" w:hAnsiTheme="minorEastAsia" w:eastAsiaTheme="minorEastAsia"/>
                <w:sz w:val="20"/>
              </w:rPr>
              <w:t>成都市青白江区大弯大夫东路69号附7号</w:t>
            </w:r>
          </w:p>
        </w:tc>
        <w:tc>
          <w:tcPr>
            <w:tcW w:w="571" w:type="dxa"/>
            <w:vAlign w:val="center"/>
          </w:tcPr>
          <w:p>
            <w:pPr>
              <w:rPr>
                <w:rFonts w:hint="default" w:eastAsia="宋体"/>
                <w:lang w:val="en-US" w:eastAsia="zh-CN"/>
              </w:rPr>
            </w:pPr>
            <w:r>
              <w:rPr>
                <w:rFonts w:hint="eastAsia"/>
                <w:lang w:val="en-US" w:eastAsia="zh-CN"/>
              </w:rPr>
              <w:t>28</w:t>
            </w:r>
          </w:p>
        </w:tc>
        <w:tc>
          <w:tcPr>
            <w:tcW w:w="2803" w:type="dxa"/>
            <w:vAlign w:val="center"/>
          </w:tcPr>
          <w:p>
            <w:pPr>
              <w:rPr>
                <w:sz w:val="20"/>
              </w:rPr>
            </w:pPr>
            <w:r>
              <w:rPr>
                <w:sz w:val="20"/>
              </w:rPr>
              <w:t>E：清洁剂的生产及销售（不涉及行政许可）所涉及场所的相关环境管理活动</w:t>
            </w:r>
          </w:p>
          <w:p>
            <w:pPr>
              <w:rPr>
                <w:sz w:val="20"/>
              </w:rPr>
            </w:pPr>
            <w:r>
              <w:rPr>
                <w:sz w:val="20"/>
              </w:rPr>
              <w:t>O：清洁剂的生产及销售（不涉及行政许可）所涉及场所的相关职业健康安全管理活动</w:t>
            </w:r>
          </w:p>
          <w:p>
            <w:pPr>
              <w:rPr>
                <w:lang w:eastAsia="ja-JP"/>
              </w:rPr>
            </w:pPr>
            <w:r>
              <w:rPr>
                <w:sz w:val="20"/>
              </w:rPr>
              <w:t>Q：清洁剂的生产及销售（不涉及行政许可）</w:t>
            </w:r>
          </w:p>
        </w:tc>
        <w:tc>
          <w:tcPr>
            <w:tcW w:w="669" w:type="dxa"/>
            <w:vAlign w:val="center"/>
          </w:tcPr>
          <w:p>
            <w:pPr>
              <w:rPr>
                <w:rFonts w:hint="eastAsia"/>
              </w:rPr>
            </w:pPr>
            <w:r>
              <w:rPr>
                <w:rFonts w:hint="eastAsia"/>
              </w:rPr>
              <w:t>GB/T19001-2016</w:t>
            </w:r>
          </w:p>
          <w:p>
            <w:pPr>
              <w:pStyle w:val="2"/>
              <w:rPr>
                <w:rFonts w:hint="eastAsia" w:ascii="宋体" w:hAnsi="宋体"/>
                <w:b/>
                <w:sz w:val="21"/>
                <w:szCs w:val="21"/>
              </w:rPr>
            </w:pPr>
            <w:r>
              <w:rPr>
                <w:rFonts w:hint="eastAsia" w:ascii="宋体" w:hAnsi="宋体"/>
                <w:b/>
                <w:sz w:val="21"/>
                <w:szCs w:val="21"/>
              </w:rPr>
              <w:t>GB/T24001-2016</w:t>
            </w:r>
          </w:p>
          <w:p>
            <w:pPr>
              <w:pStyle w:val="2"/>
              <w:rPr>
                <w:rFonts w:hint="eastAsia" w:ascii="宋体" w:hAnsi="宋体" w:eastAsia="宋体" w:cs="Times New Roman"/>
                <w:b/>
                <w:kern w:val="2"/>
                <w:sz w:val="21"/>
                <w:szCs w:val="21"/>
                <w:lang w:val="en-US" w:eastAsia="ja-JP" w:bidi="ar-SA"/>
              </w:rPr>
            </w:pPr>
            <w:r>
              <w:rPr>
                <w:rFonts w:hint="eastAsia" w:ascii="宋体" w:hAnsi="宋体"/>
                <w:b/>
                <w:sz w:val="21"/>
                <w:szCs w:val="21"/>
              </w:rPr>
              <w:t>GB/T45001-2020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2020-N1EMS-1262293</w:t>
            </w:r>
          </w:p>
          <w:p>
            <w:r>
              <w:t>2021-N1OHSMS-1262293</w:t>
            </w:r>
          </w:p>
          <w:p>
            <w:r>
              <w:t>2020-N1QMS-1262293</w:t>
            </w:r>
          </w:p>
        </w:tc>
        <w:tc>
          <w:tcPr>
            <w:tcW w:w="2179" w:type="dxa"/>
            <w:vAlign w:val="center"/>
          </w:tcPr>
          <w:p>
            <w:r>
              <w:t>E:12.04.01</w:t>
            </w:r>
          </w:p>
          <w:p>
            <w:r>
              <w:t>O:12.04.01</w:t>
            </w:r>
          </w:p>
          <w:p>
            <w:r>
              <w:t>Q:12.04.01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3870" w:type="dxa"/>
            <w:vAlign w:val="center"/>
          </w:tcPr>
          <w:p>
            <w:r>
              <w:t>2019-N1EMS-1242345</w:t>
            </w:r>
          </w:p>
          <w:p>
            <w:r>
              <w:t>2019-N1QMS-1242345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清洁剂的生产及销售（不涉及行政许可）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sz w:val="20"/>
              </w:rPr>
            </w:pPr>
            <w:r>
              <w:rPr>
                <w:sz w:val="20"/>
              </w:rPr>
              <w:t>清洁剂的生产及销售（不涉及行政许可）所涉及场所的相关环境管理活动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清洁剂的生产及销售（不涉及行政许可）所涉及场所的相关职业健康安全管理活动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keepNext w:val="0"/>
              <w:keepLines w:val="0"/>
              <w:pageBreakBefore w:val="0"/>
              <w:kinsoku/>
              <w:wordWrap/>
              <w:overflowPunct/>
              <w:topLinePunct w:val="0"/>
              <w:bidi w:val="0"/>
              <w:spacing w:after="0" w:line="240" w:lineRule="auto"/>
              <w:jc w:val="left"/>
              <w:rPr>
                <w:rFonts w:hint="eastAsia" w:ascii="宋体" w:hAnsi="宋体" w:eastAsia="宋体" w:cs="宋体"/>
                <w:b w:val="0"/>
                <w:sz w:val="21"/>
                <w:szCs w:val="21"/>
                <w:lang w:val="en-US" w:eastAsia="zh-CN"/>
              </w:rPr>
            </w:pPr>
            <w:r>
              <w:rPr>
                <w:rFonts w:hint="eastAsia"/>
              </w:rPr>
              <w:t>最高管理者制定了文件化的管理体系方针：</w:t>
            </w:r>
            <w:r>
              <w:rPr>
                <w:rFonts w:hint="eastAsia" w:ascii="宋体" w:hAnsi="宋体" w:eastAsia="宋体" w:cs="宋体"/>
                <w:b w:val="0"/>
                <w:sz w:val="21"/>
                <w:szCs w:val="21"/>
                <w:lang w:val="en-US" w:eastAsia="zh-CN"/>
              </w:rPr>
              <w:t>诚实守信，客户至上；真诚合作，实现双赢；</w:t>
            </w:r>
          </w:p>
          <w:p>
            <w:pPr>
              <w:keepNext w:val="0"/>
              <w:keepLines w:val="0"/>
              <w:pageBreakBefore w:val="0"/>
              <w:kinsoku/>
              <w:wordWrap/>
              <w:overflowPunct/>
              <w:topLinePunct w:val="0"/>
              <w:bidi w:val="0"/>
              <w:spacing w:after="0" w:line="240" w:lineRule="auto"/>
              <w:jc w:val="left"/>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遵规守法，预防污染；高效低耗，环保作业；</w:t>
            </w:r>
          </w:p>
          <w:p>
            <w:pPr>
              <w:shd w:val="clear" w:color="auto" w:fill="C7DAF1" w:themeFill="text2" w:themeFillTint="32"/>
              <w:rPr>
                <w:u w:val="single"/>
              </w:rPr>
            </w:pPr>
            <w:r>
              <w:rPr>
                <w:rFonts w:hint="eastAsia" w:ascii="宋体" w:hAnsi="宋体" w:eastAsia="宋体" w:cs="宋体"/>
                <w:b w:val="0"/>
                <w:sz w:val="21"/>
                <w:szCs w:val="21"/>
                <w:lang w:val="en-US" w:eastAsia="zh-CN"/>
              </w:rPr>
              <w:t>安全第一，预防为主；健康向上，共建和谐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产品</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管理部门根据标准进行产品质量把控，并编制作业指导书，销售管理部门需与客户沟通好产品质量要求，确保公司与客户双方质量要求一致；</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宋体"/>
                      <w:b w:val="0"/>
                      <w:color w:val="auto"/>
                      <w:sz w:val="21"/>
                      <w:szCs w:val="21"/>
                    </w:rPr>
                    <w:t>产品一次性交验合格率≥98%</w:t>
                  </w:r>
                </w:p>
              </w:tc>
              <w:tc>
                <w:tcPr>
                  <w:tcW w:w="3136" w:type="dxa"/>
                  <w:shd w:val="clear" w:color="auto" w:fill="auto"/>
                  <w:vAlign w:val="center"/>
                </w:tcPr>
                <w:p>
                  <w:pPr>
                    <w:widowControl w:val="0"/>
                    <w:spacing w:line="240" w:lineRule="auto"/>
                    <w:jc w:val="both"/>
                    <w:rPr>
                      <w:rFonts w:hint="eastAsia" w:ascii="宋体" w:hAnsi="宋体" w:eastAsia="宋体" w:cs="宋体"/>
                      <w:kern w:val="2"/>
                      <w:sz w:val="15"/>
                      <w:szCs w:val="15"/>
                      <w:lang w:val="en-GB" w:eastAsia="zh-CN" w:bidi="ar-SA"/>
                    </w:rPr>
                  </w:pPr>
                  <w:r>
                    <w:rPr>
                      <w:rFonts w:hint="eastAsia" w:ascii="宋体" w:hAnsi="宋体" w:eastAsia="宋体" w:cs="宋体"/>
                      <w:kern w:val="2"/>
                      <w:sz w:val="15"/>
                      <w:szCs w:val="15"/>
                      <w:lang w:val="en-US" w:eastAsia="zh-CN" w:bidi="ar-SA"/>
                    </w:rPr>
                    <w:t>一次交验合格数/交验数×100%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宋体"/>
                      <w:b w:val="0"/>
                      <w:color w:val="auto"/>
                      <w:sz w:val="21"/>
                      <w:szCs w:val="21"/>
                    </w:rPr>
                    <w:t>合同履约率100％</w:t>
                  </w:r>
                </w:p>
              </w:tc>
              <w:tc>
                <w:tcPr>
                  <w:tcW w:w="3136" w:type="dxa"/>
                  <w:shd w:val="clear" w:color="auto" w:fill="auto"/>
                  <w:vAlign w:val="center"/>
                </w:tcPr>
                <w:p>
                  <w:pPr>
                    <w:widowControl w:val="0"/>
                    <w:spacing w:line="240" w:lineRule="auto"/>
                    <w:jc w:val="both"/>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合同评审数/合同总数×100%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宋体"/>
                      <w:b w:val="0"/>
                      <w:color w:val="auto"/>
                      <w:sz w:val="21"/>
                      <w:szCs w:val="21"/>
                    </w:rPr>
                    <w:t>顾客满意率达到≥90%</w:t>
                  </w:r>
                </w:p>
              </w:tc>
              <w:tc>
                <w:tcPr>
                  <w:tcW w:w="3136" w:type="dxa"/>
                  <w:shd w:val="clear" w:color="auto" w:fill="auto"/>
                  <w:vAlign w:val="center"/>
                </w:tcPr>
                <w:p>
                  <w:pPr>
                    <w:widowControl w:val="0"/>
                    <w:spacing w:line="240" w:lineRule="auto"/>
                    <w:jc w:val="both"/>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顾客满意度=∑n1+n2+n3+……+ni/n×100%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4300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color w:val="000000"/>
                <w:szCs w:val="21"/>
              </w:rPr>
              <w:t>立式单螺旋搅拌机</w:t>
            </w:r>
            <w:r>
              <w:rPr>
                <w:rFonts w:hint="eastAsia"/>
                <w:color w:val="000000"/>
                <w:szCs w:val="21"/>
                <w:lang w:eastAsia="zh-CN"/>
              </w:rPr>
              <w:t>、</w:t>
            </w:r>
            <w:r>
              <w:rPr>
                <w:rFonts w:hint="eastAsia"/>
                <w:color w:val="000000"/>
                <w:szCs w:val="21"/>
              </w:rPr>
              <w:t>卧式单螺旋搅拌机</w:t>
            </w:r>
            <w:r>
              <w:rPr>
                <w:rFonts w:hint="eastAsia"/>
                <w:color w:val="000000"/>
                <w:szCs w:val="21"/>
                <w:lang w:eastAsia="zh-CN"/>
              </w:rPr>
              <w:t>、</w:t>
            </w:r>
            <w:r>
              <w:rPr>
                <w:rFonts w:hint="eastAsia"/>
                <w:color w:val="000000"/>
                <w:szCs w:val="21"/>
              </w:rPr>
              <w:t>旋振筛</w:t>
            </w:r>
            <w:r>
              <w:rPr>
                <w:rFonts w:hint="eastAsia"/>
                <w:color w:val="000000"/>
                <w:szCs w:val="21"/>
                <w:lang w:eastAsia="zh-CN"/>
              </w:rPr>
              <w:t>、</w:t>
            </w:r>
            <w:r>
              <w:rPr>
                <w:rFonts w:hint="eastAsia"/>
                <w:color w:val="000000"/>
                <w:szCs w:val="21"/>
              </w:rPr>
              <w:t>液体搅拌罐</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hAnsi="宋体" w:cs="宋体"/>
                <w:color w:val="auto"/>
                <w:szCs w:val="21"/>
                <w:highlight w:val="none"/>
                <w:lang w:val="en-US" w:eastAsia="zh-CN"/>
              </w:rPr>
              <w:t>电子天平、PH计、旋转粘度计</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生产过程</w:t>
                  </w: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搅拌过程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搅拌时间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搅拌过程</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洁厕灵检验报告</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2022年2月13日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2022年3月10日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clear" w:color="auto" w:fill="BFBFBF"/>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7.3</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7.4</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7.5</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8.3</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8.4</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8.5</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8.6</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9.3</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10.3</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kinsoku/>
              <w:wordWrap/>
              <w:overflowPunct/>
              <w:topLinePunct w:val="0"/>
              <w:bidi w:val="0"/>
              <w:spacing w:after="0" w:line="240" w:lineRule="auto"/>
              <w:jc w:val="left"/>
              <w:rPr>
                <w:rFonts w:hint="eastAsia" w:ascii="宋体" w:hAnsi="宋体" w:eastAsia="宋体" w:cs="宋体"/>
                <w:b w:val="0"/>
                <w:sz w:val="21"/>
                <w:szCs w:val="21"/>
                <w:lang w:val="en-US" w:eastAsia="zh-CN"/>
              </w:rPr>
            </w:pPr>
            <w:r>
              <w:rPr>
                <w:rFonts w:hint="eastAsia"/>
              </w:rPr>
              <w:t>最高管理者制定了文件化的管理体系方针：</w:t>
            </w:r>
            <w:r>
              <w:rPr>
                <w:rFonts w:hint="eastAsia" w:ascii="宋体" w:hAnsi="宋体" w:eastAsia="宋体" w:cs="宋体"/>
                <w:b w:val="0"/>
                <w:sz w:val="21"/>
                <w:szCs w:val="21"/>
                <w:lang w:val="en-US" w:eastAsia="zh-CN"/>
              </w:rPr>
              <w:t>诚实守信，客户至上；真诚合作，实现双赢；</w:t>
            </w:r>
          </w:p>
          <w:p>
            <w:pPr>
              <w:keepNext w:val="0"/>
              <w:keepLines w:val="0"/>
              <w:pageBreakBefore w:val="0"/>
              <w:kinsoku/>
              <w:wordWrap/>
              <w:overflowPunct/>
              <w:topLinePunct w:val="0"/>
              <w:bidi w:val="0"/>
              <w:spacing w:after="0" w:line="240" w:lineRule="auto"/>
              <w:jc w:val="left"/>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遵规守法，预防污染；高效低耗，环保作业；</w:t>
            </w:r>
          </w:p>
          <w:p>
            <w:pPr>
              <w:shd w:val="clear" w:color="auto" w:fill="EBF1DE" w:themeFill="accent3" w:themeFillTint="32"/>
              <w:rPr>
                <w:u w:val="single"/>
              </w:rPr>
            </w:pPr>
            <w:r>
              <w:rPr>
                <w:rFonts w:hint="eastAsia" w:ascii="宋体" w:hAnsi="宋体" w:eastAsia="宋体" w:cs="宋体"/>
                <w:b w:val="0"/>
                <w:sz w:val="21"/>
                <w:szCs w:val="21"/>
                <w:lang w:val="en-US" w:eastAsia="zh-CN"/>
              </w:rPr>
              <w:t>安全第一，预防为主；健康向上，共建和谐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w:t>
            </w:r>
            <w:r>
              <w:rPr>
                <w:rFonts w:hint="eastAsia"/>
              </w:rPr>
              <w:sym w:font="Wingdings 2" w:char="0052"/>
            </w:r>
            <w:r>
              <w:rPr>
                <w:rFonts w:hint="eastAsia"/>
              </w:rPr>
              <w:t>废气排放□粉尘排放□危废排放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排污许可证编号：</w:t>
            </w:r>
            <w:r>
              <w:rPr>
                <w:rFonts w:hint="eastAsia"/>
                <w:lang w:val="en-US" w:eastAsia="zh-CN"/>
              </w:rPr>
              <w:t>川环许A青0231</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环境影响报告书日期：</w:t>
            </w:r>
            <w:r>
              <w:rPr>
                <w:rFonts w:hint="eastAsia"/>
                <w:lang w:val="en-US" w:eastAsia="zh-CN"/>
              </w:rPr>
              <w:t>2017年1月</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b w:val="0"/>
                      <w:color w:val="auto"/>
                      <w:sz w:val="21"/>
                      <w:szCs w:val="21"/>
                    </w:rPr>
                    <w:t>固体废弃物分类处理率100%；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GB"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GB" w:eastAsia="zh-CN" w:bidi="ar-SA"/>
                    </w:rPr>
                  </w:pPr>
                  <w:r>
                    <w:rPr>
                      <w:rFonts w:hint="eastAsia" w:ascii="宋体" w:hAnsi="宋体"/>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b w:val="0"/>
                      <w:color w:val="auto"/>
                      <w:sz w:val="21"/>
                      <w:szCs w:val="21"/>
                    </w:rPr>
                    <w:t>火灾触电事故为零</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4300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color w:val="000000"/>
                <w:szCs w:val="21"/>
              </w:rPr>
              <w:t>立式单螺旋搅拌机</w:t>
            </w:r>
            <w:r>
              <w:rPr>
                <w:rFonts w:hint="eastAsia"/>
                <w:color w:val="000000"/>
                <w:szCs w:val="21"/>
                <w:lang w:eastAsia="zh-CN"/>
              </w:rPr>
              <w:t>、</w:t>
            </w:r>
            <w:r>
              <w:rPr>
                <w:rFonts w:hint="eastAsia"/>
                <w:color w:val="000000"/>
                <w:szCs w:val="21"/>
              </w:rPr>
              <w:t>卧式单螺旋搅拌机</w:t>
            </w:r>
            <w:r>
              <w:rPr>
                <w:rFonts w:hint="eastAsia"/>
                <w:color w:val="000000"/>
                <w:szCs w:val="21"/>
                <w:lang w:eastAsia="zh-CN"/>
              </w:rPr>
              <w:t>、</w:t>
            </w:r>
            <w:r>
              <w:rPr>
                <w:rFonts w:hint="eastAsia"/>
                <w:color w:val="000000"/>
                <w:szCs w:val="21"/>
              </w:rPr>
              <w:t>旋振筛</w:t>
            </w:r>
            <w:r>
              <w:rPr>
                <w:rFonts w:hint="eastAsia"/>
                <w:color w:val="000000"/>
                <w:szCs w:val="21"/>
                <w:lang w:eastAsia="zh-CN"/>
              </w:rPr>
              <w:t>、</w:t>
            </w:r>
            <w:r>
              <w:rPr>
                <w:rFonts w:hint="eastAsia"/>
                <w:color w:val="000000"/>
                <w:szCs w:val="21"/>
              </w:rPr>
              <w:t>液体搅拌罐</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布袋除尘器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lang w:val="en-US" w:eastAsia="zh-CN"/>
              </w:rPr>
              <w:t xml:space="preserve"> </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2021年12月6日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2022年2月16日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中坚（环）检[2022]0042号</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2022年2月13日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2022年3月10日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keepNext w:val="0"/>
              <w:keepLines w:val="0"/>
              <w:pageBreakBefore w:val="0"/>
              <w:kinsoku/>
              <w:wordWrap/>
              <w:overflowPunct/>
              <w:topLinePunct w:val="0"/>
              <w:bidi w:val="0"/>
              <w:spacing w:after="0" w:line="240" w:lineRule="auto"/>
              <w:jc w:val="left"/>
              <w:rPr>
                <w:rFonts w:hint="eastAsia" w:ascii="宋体" w:hAnsi="宋体" w:eastAsia="宋体" w:cs="宋体"/>
                <w:b w:val="0"/>
                <w:sz w:val="21"/>
                <w:szCs w:val="21"/>
                <w:lang w:val="en-US" w:eastAsia="zh-CN"/>
              </w:rPr>
            </w:pPr>
            <w:r>
              <w:rPr>
                <w:rFonts w:hint="eastAsia"/>
              </w:rPr>
              <w:t>最高管理者制定了文件化的职业健康安全管理体系方针：</w:t>
            </w:r>
            <w:r>
              <w:rPr>
                <w:rFonts w:hint="eastAsia" w:ascii="宋体" w:hAnsi="宋体" w:eastAsia="宋体" w:cs="宋体"/>
                <w:b w:val="0"/>
                <w:sz w:val="21"/>
                <w:szCs w:val="21"/>
                <w:lang w:val="en-US" w:eastAsia="zh-CN"/>
              </w:rPr>
              <w:t>诚实守信，客户至上；真诚合作，实现双赢；</w:t>
            </w:r>
          </w:p>
          <w:p>
            <w:pPr>
              <w:keepNext w:val="0"/>
              <w:keepLines w:val="0"/>
              <w:pageBreakBefore w:val="0"/>
              <w:kinsoku/>
              <w:wordWrap/>
              <w:overflowPunct/>
              <w:topLinePunct w:val="0"/>
              <w:bidi w:val="0"/>
              <w:spacing w:after="0" w:line="240" w:lineRule="auto"/>
              <w:jc w:val="left"/>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遵规守法，预防污染；高效低耗，环保作业；</w:t>
            </w:r>
          </w:p>
          <w:p>
            <w:pPr>
              <w:rPr>
                <w:u w:val="single"/>
              </w:rPr>
            </w:pPr>
            <w:r>
              <w:rPr>
                <w:rFonts w:hint="eastAsia" w:ascii="宋体" w:hAnsi="宋体" w:eastAsia="宋体" w:cs="宋体"/>
                <w:b w:val="0"/>
                <w:sz w:val="21"/>
                <w:szCs w:val="21"/>
                <w:lang w:val="en-US" w:eastAsia="zh-CN"/>
              </w:rPr>
              <w:t>安全第一，预防为主；健康向上，共建和谐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pPr>
              <w:rPr>
                <w:rFonts w:hint="eastAsia"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文青松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日常办公生产</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2021.7.10</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sym w:font="Wingdings 2" w:char="0052"/>
            </w: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cs="宋体"/>
                      <w:kern w:val="0"/>
                      <w:szCs w:val="21"/>
                      <w:lang w:bidi="ar"/>
                    </w:rPr>
                    <w:t>重伤以上事故发生率为零</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cs="宋体"/>
                      <w:kern w:val="0"/>
                      <w:szCs w:val="21"/>
                      <w:lang w:bidi="ar"/>
                    </w:rPr>
                    <w:t>火灾事故发生率为零</w:t>
                  </w:r>
                </w:p>
              </w:tc>
              <w:tc>
                <w:tcPr>
                  <w:tcW w:w="3136"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宋体" w:hAnsi="宋体" w:eastAsia="宋体" w:cs="Times New Roman"/>
                      <w:kern w:val="2"/>
                      <w:sz w:val="21"/>
                      <w:szCs w:val="24"/>
                      <w:lang w:val="en-US" w:eastAsia="zh-CN" w:bidi="ar-SA"/>
                    </w:rPr>
                  </w:pPr>
                  <w:r>
                    <w:rPr>
                      <w:rFonts w:hint="eastAsia" w:ascii="宋体" w:hAnsi="宋体"/>
                      <w:lang w:val="en-US" w:eastAsia="zh-CN"/>
                    </w:rPr>
                    <w:t>综合部</w:t>
                  </w:r>
                </w:p>
              </w:tc>
              <w:tc>
                <w:tcPr>
                  <w:tcW w:w="1774" w:type="dxa"/>
                  <w:shd w:val="clear" w:color="auto" w:fill="auto"/>
                  <w:vAlign w:val="center"/>
                </w:tcPr>
                <w:p>
                  <w:pPr>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4300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u w:val="single"/>
              </w:rPr>
            </w:pPr>
            <w:r>
              <w:rPr>
                <w:rFonts w:hint="eastAsia"/>
              </w:rPr>
              <w:t>主要生产设备有：</w:t>
            </w:r>
            <w:r>
              <w:rPr>
                <w:rFonts w:hint="eastAsia"/>
                <w:color w:val="000000"/>
                <w:szCs w:val="21"/>
              </w:rPr>
              <w:t>立式单螺旋搅拌机</w:t>
            </w:r>
            <w:r>
              <w:rPr>
                <w:rFonts w:hint="eastAsia"/>
                <w:color w:val="000000"/>
                <w:szCs w:val="21"/>
                <w:lang w:eastAsia="zh-CN"/>
              </w:rPr>
              <w:t>、</w:t>
            </w:r>
            <w:r>
              <w:rPr>
                <w:rFonts w:hint="eastAsia"/>
                <w:color w:val="000000"/>
                <w:szCs w:val="21"/>
              </w:rPr>
              <w:t>卧式单螺旋搅拌机</w:t>
            </w:r>
            <w:r>
              <w:rPr>
                <w:rFonts w:hint="eastAsia"/>
                <w:color w:val="000000"/>
                <w:szCs w:val="21"/>
                <w:lang w:eastAsia="zh-CN"/>
              </w:rPr>
              <w:t>、</w:t>
            </w:r>
            <w:r>
              <w:rPr>
                <w:rFonts w:hint="eastAsia"/>
                <w:color w:val="000000"/>
                <w:szCs w:val="21"/>
              </w:rPr>
              <w:t>旋振筛</w:t>
            </w:r>
            <w:r>
              <w:rPr>
                <w:rFonts w:hint="eastAsia"/>
                <w:color w:val="000000"/>
                <w:szCs w:val="21"/>
                <w:lang w:eastAsia="zh-CN"/>
              </w:rPr>
              <w:t>、</w:t>
            </w:r>
            <w:r>
              <w:rPr>
                <w:rFonts w:hint="eastAsia"/>
                <w:color w:val="000000"/>
                <w:szCs w:val="21"/>
              </w:rPr>
              <w:t>液体搅拌罐</w:t>
            </w:r>
            <w:r>
              <w:rPr>
                <w:rFonts w:hint="eastAsia"/>
                <w:u w:val="single"/>
              </w:rPr>
              <w:t>（列举2~4种）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空间隔离□穿戴劳保用品</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应急演练</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2021年12月6日</w:t>
            </w:r>
            <w:r>
              <w:rPr>
                <w:rFonts w:hint="eastAsia"/>
              </w:rPr>
              <w:t>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2022年2月16日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未进行</w:t>
            </w:r>
            <w:r>
              <w:rPr>
                <w:rFonts w:hint="eastAsia" w:ascii="Times New Roman" w:hAnsi="Times New Roman" w:eastAsia="宋体" w:cs="Times New Roman"/>
                <w:b/>
                <w:bCs/>
                <w:lang w:val="en-US" w:eastAsia="zh-CN"/>
              </w:rPr>
              <w:t>职业病危害因素检测</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2022年2月13日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2022年3月10日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20"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43963D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18676</Words>
  <Characters>19462</Characters>
  <Lines>150</Lines>
  <Paragraphs>42</Paragraphs>
  <TotalTime>0</TotalTime>
  <ScaleCrop>false</ScaleCrop>
  <LinksUpToDate>false</LinksUpToDate>
  <CharactersWithSpaces>19583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2022-06-23T03:56:12Z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