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0512-2022-EO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西安久通电力科技有限公司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西安久通电力科技有限公司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西安市莲湖区南小巷55号宏腾大厦1幢10602室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西安市雁塔区南三环南飞鸿广场6号楼1031室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陈扬帆</w:t>
            </w:r>
            <w:bookmarkEnd w:id="10"/>
          </w:p>
        </w:tc>
        <w:tc>
          <w:tcPr>
            <w:tcW w:w="1313" w:type="dxa"/>
            <w:vAlign w:val="center"/>
          </w:tcPr>
          <w:p>
            <w:r>
              <w:rPr>
                <w:rFonts w:hint="eastAsia"/>
              </w:rPr>
              <w:t>电话.</w:t>
            </w:r>
          </w:p>
        </w:tc>
        <w:tc>
          <w:tcPr>
            <w:tcW w:w="2180" w:type="dxa"/>
            <w:vAlign w:val="center"/>
          </w:tcPr>
          <w:p>
            <w:bookmarkStart w:id="11" w:name="联系人电话"/>
            <w:r>
              <w:t>15891658616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李涛</w:t>
            </w:r>
            <w:bookmarkEnd w:id="13"/>
          </w:p>
        </w:tc>
        <w:tc>
          <w:tcPr>
            <w:tcW w:w="1313" w:type="dxa"/>
            <w:vAlign w:val="center"/>
          </w:tcPr>
          <w:p>
            <w:r>
              <w:rPr>
                <w:rFonts w:hint="eastAsia"/>
              </w:rPr>
              <w:t>管理者代表</w:t>
            </w:r>
          </w:p>
        </w:tc>
        <w:tc>
          <w:tcPr>
            <w:tcW w:w="2180" w:type="dxa"/>
          </w:tcPr>
          <w:p>
            <w:bookmarkStart w:id="14" w:name="管理者代表"/>
            <w:r>
              <w:t>陈扬帆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洽谈—签约—打包—发货—客户验收—收款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2022年05月13日 上午至2022年05月13日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西安市雁塔区南三环南飞鸿广场6号楼1031室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E：智能除湿系统、电气二次设备、大屏幕显示系统的销售所涉及场所的相关环境管理活动</w:t>
            </w:r>
          </w:p>
          <w:p>
            <w:r>
              <w:t>O：智能除湿系统、电气二次设备、大屏幕显示系统的销售所涉及场所的相关职业健康安全管理活动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7</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西安久通电力科技有限公司</w:t>
            </w:r>
            <w:r>
              <w:rPr>
                <w:rFonts w:hint="eastAsia" w:eastAsia="黑体"/>
                <w:szCs w:val="21"/>
                <w:lang w:val="en-US" w:eastAsia="zh-CN"/>
              </w:rPr>
              <w:t>/</w:t>
            </w:r>
            <w:r>
              <w:rPr>
                <w:rFonts w:hint="eastAsia" w:eastAsia="黑体"/>
                <w:szCs w:val="21"/>
                <w:lang w:val="de-DE" w:eastAsia="ja-JP"/>
              </w:rPr>
              <w:t>西安市莲湖区南小巷55号宏腾大厦1幢10602室</w:t>
            </w:r>
          </w:p>
        </w:tc>
        <w:tc>
          <w:tcPr>
            <w:tcW w:w="2267" w:type="dxa"/>
            <w:vAlign w:val="top"/>
          </w:tcPr>
          <w:p>
            <w:pPr>
              <w:spacing w:before="40" w:after="40"/>
              <w:rPr>
                <w:lang w:val="de-DE" w:eastAsia="ja-JP"/>
              </w:rPr>
            </w:pPr>
            <w:r>
              <w:rPr>
                <w:rFonts w:hint="eastAsia" w:eastAsia="黑体"/>
                <w:szCs w:val="21"/>
                <w:lang w:val="de-DE" w:eastAsia="ja-JP"/>
              </w:rPr>
              <w:t>西安市雁塔区南三环南飞鸿广场6号楼1031室</w:t>
            </w:r>
          </w:p>
        </w:tc>
        <w:tc>
          <w:tcPr>
            <w:tcW w:w="571" w:type="dxa"/>
            <w:vAlign w:val="center"/>
          </w:tcPr>
          <w:p>
            <w:pPr>
              <w:spacing w:before="40" w:after="40"/>
              <w:rPr>
                <w:lang w:eastAsia="ja-JP"/>
              </w:rPr>
            </w:pPr>
            <w:r>
              <w:rPr>
                <w:rFonts w:hint="eastAsia" w:eastAsia="黑体"/>
                <w:szCs w:val="21"/>
                <w:lang w:val="en-US" w:eastAsia="zh-CN"/>
              </w:rPr>
              <w:t>10</w:t>
            </w:r>
          </w:p>
        </w:tc>
        <w:tc>
          <w:tcPr>
            <w:tcW w:w="2803" w:type="dxa"/>
            <w:vAlign w:val="center"/>
          </w:tcPr>
          <w:p>
            <w:pPr>
              <w:pStyle w:val="20"/>
              <w:rPr>
                <w:lang w:eastAsia="ja-JP"/>
              </w:rPr>
            </w:pPr>
            <w:r>
              <w:rPr>
                <w:rFonts w:hint="eastAsia" w:eastAsia="黑体" w:cs="Arial"/>
                <w:sz w:val="21"/>
                <w:szCs w:val="21"/>
                <w:lang w:val="en-US" w:eastAsia="ja-JP"/>
              </w:rPr>
              <w:t>智能除湿系统、电气二次设备、大屏幕显示系统的销售</w:t>
            </w:r>
          </w:p>
        </w:tc>
        <w:tc>
          <w:tcPr>
            <w:tcW w:w="669" w:type="dxa"/>
            <w:vAlign w:val="center"/>
          </w:tcPr>
          <w:p>
            <w:pPr>
              <w:spacing w:before="40" w:after="40"/>
              <w:rPr>
                <w:lang w:eastAsia="ja-JP"/>
              </w:rPr>
            </w:pPr>
            <w:r>
              <w:rPr>
                <w:rFonts w:hint="eastAsia" w:eastAsia="黑体"/>
                <w:szCs w:val="21"/>
                <w:lang w:eastAsia="ja-JP"/>
              </w:rPr>
              <w:t>GB/T 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组长</w:t>
            </w:r>
          </w:p>
        </w:tc>
        <w:tc>
          <w:tcPr>
            <w:tcW w:w="711" w:type="dxa"/>
            <w:vAlign w:val="center"/>
          </w:tcPr>
          <w:p>
            <w:r>
              <w:t>女</w:t>
            </w:r>
          </w:p>
        </w:tc>
        <w:tc>
          <w:tcPr>
            <w:tcW w:w="3870" w:type="dxa"/>
            <w:vAlign w:val="center"/>
          </w:tcPr>
          <w:p>
            <w:r>
              <w:t>2019-N1EMS-1239141</w:t>
            </w:r>
          </w:p>
          <w:p>
            <w:r>
              <w:t>2021-N1OHSMS-1239141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p>
            <w:r>
              <w:t>ISC[S]0372</w:t>
            </w:r>
          </w:p>
          <w:p>
            <w:r>
              <w:t>北京国标联合认证有限公司</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298450</wp:posOffset>
                  </wp:positionH>
                  <wp:positionV relativeFrom="paragraph">
                    <wp:posOffset>59690</wp:posOffset>
                  </wp:positionV>
                  <wp:extent cx="622935" cy="295910"/>
                  <wp:effectExtent l="0" t="0" r="12065" b="8890"/>
                  <wp:wrapNone/>
                  <wp:docPr id="1" name="图片 1" descr="李宝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宝花"/>
                          <pic:cNvPicPr>
                            <a:picLocks noChangeAspect="1"/>
                          </pic:cNvPicPr>
                        </pic:nvPicPr>
                        <pic:blipFill>
                          <a:blip r:embed="rId6"/>
                          <a:stretch>
                            <a:fillRect/>
                          </a:stretch>
                        </pic:blipFill>
                        <pic:spPr>
                          <a:xfrm>
                            <a:off x="0" y="0"/>
                            <a:ext cx="622935" cy="29591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52"/>
            </w:r>
            <w:r>
              <w:rPr>
                <w:rFonts w:hint="eastAsia"/>
              </w:rPr>
              <w:t xml:space="preserve">检验 </w:t>
            </w:r>
            <w:r>
              <w:rPr>
                <w:rFonts w:hint="eastAsia"/>
              </w:rPr>
              <w:sym w:font="Wingdings 2" w:char="00A3"/>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A3"/>
            </w:r>
            <w:r>
              <w:rPr>
                <w:rFonts w:hint="eastAsia"/>
              </w:rPr>
              <w:t xml:space="preserve">产品运输 </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A3"/>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最高管理者制定了文件化的管理体系方针：环境方针：防治污染、节能低耗；</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废水排放□废气排放□粉尘排放□危废排放</w:t>
            </w:r>
            <w:r>
              <w:rPr>
                <w:rFonts w:hint="eastAsia"/>
              </w:rPr>
              <w:sym w:font="Wingdings 2" w:char="00A3"/>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textAlignment w:val="center"/>
                    <w:rPr>
                      <w:rFonts w:hint="eastAsia" w:ascii="宋体" w:hAnsi="宋体" w:eastAsia="宋体" w:cs="Times New Roman"/>
                    </w:rPr>
                  </w:pPr>
                  <w:r>
                    <w:rPr>
                      <w:rFonts w:hint="eastAsia" w:ascii="宋体" w:hAnsi="宋体" w:cs="宋体"/>
                      <w:color w:val="000000"/>
                      <w:kern w:val="0"/>
                      <w:sz w:val="22"/>
                      <w:szCs w:val="22"/>
                      <w:lang w:eastAsia="zh-CN" w:bidi="ar"/>
                    </w:rPr>
                    <w:t>固废达标排放</w:t>
                  </w:r>
                  <w:r>
                    <w:rPr>
                      <w:rFonts w:hint="eastAsia" w:ascii="宋体" w:hAnsi="宋体" w:eastAsia="宋体" w:cs="Times New Roman"/>
                      <w:lang w:val="en-US" w:eastAsia="zh-CN"/>
                    </w:rPr>
                    <w:t>100%</w:t>
                  </w:r>
                </w:p>
              </w:tc>
              <w:tc>
                <w:tcPr>
                  <w:tcW w:w="3136" w:type="dxa"/>
                  <w:shd w:val="clear" w:color="auto" w:fill="auto"/>
                  <w:vAlign w:val="center"/>
                </w:tcPr>
                <w:p>
                  <w:pPr>
                    <w:widowControl/>
                    <w:jc w:val="left"/>
                    <w:textAlignment w:val="center"/>
                    <w:rPr>
                      <w:rFonts w:hint="eastAsia" w:ascii="宋体" w:hAnsi="宋体" w:eastAsia="宋体" w:cs="Times New Roman"/>
                      <w:lang w:val="en-GB"/>
                    </w:rPr>
                  </w:pPr>
                  <w:r>
                    <w:rPr>
                      <w:rFonts w:hint="eastAsia" w:ascii="宋体" w:hAnsi="宋体" w:cs="宋体"/>
                      <w:color w:val="000000"/>
                      <w:kern w:val="0"/>
                      <w:sz w:val="22"/>
                      <w:szCs w:val="22"/>
                      <w:lang w:bidi="ar"/>
                    </w:rPr>
                    <w:t>分类次数/总处理次数×100%</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rPr>
                    <w:t>管理部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textAlignment w:val="center"/>
                    <w:rPr>
                      <w:rFonts w:hint="eastAsia" w:ascii="宋体" w:hAnsi="宋体" w:eastAsia="宋体" w:cs="Times New Roman"/>
                    </w:rPr>
                  </w:pPr>
                  <w:r>
                    <w:rPr>
                      <w:rFonts w:hint="eastAsia" w:ascii="宋体" w:hAnsi="宋体" w:cs="宋体"/>
                      <w:color w:val="000000"/>
                      <w:kern w:val="0"/>
                      <w:sz w:val="22"/>
                      <w:szCs w:val="22"/>
                      <w:lang w:eastAsia="zh-CN" w:bidi="ar"/>
                    </w:rPr>
                    <w:t>火灾事故次数为0次</w:t>
                  </w:r>
                </w:p>
              </w:tc>
              <w:tc>
                <w:tcPr>
                  <w:tcW w:w="3136" w:type="dxa"/>
                  <w:shd w:val="clear" w:color="auto" w:fill="auto"/>
                  <w:vAlign w:val="center"/>
                </w:tcPr>
                <w:p>
                  <w:pPr>
                    <w:widowControl/>
                    <w:jc w:val="left"/>
                    <w:textAlignment w:val="center"/>
                    <w:rPr>
                      <w:rFonts w:hint="eastAsia" w:ascii="宋体" w:hAnsi="宋体" w:eastAsia="宋体" w:cs="Times New Roman"/>
                    </w:rPr>
                  </w:pPr>
                  <w:r>
                    <w:rPr>
                      <w:rFonts w:hint="eastAsia" w:ascii="宋体" w:hAnsi="宋体" w:cs="宋体"/>
                      <w:color w:val="000000"/>
                      <w:kern w:val="0"/>
                      <w:sz w:val="22"/>
                      <w:szCs w:val="22"/>
                      <w:lang w:bidi="ar"/>
                    </w:rPr>
                    <w:t>以实际发生为准进行计数</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rPr>
                    <w:t>管理部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计算机、打印机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eastAsia="宋体" w:cs="宋体"/>
              </w:rPr>
              <w:t>■</w:t>
            </w:r>
            <w:r>
              <w:rPr>
                <w:rFonts w:hint="eastAsia"/>
              </w:rPr>
              <w:t>EMS认证证书</w:t>
            </w:r>
            <w:r>
              <w:rPr>
                <w:rFonts w:hint="eastAsia" w:ascii="宋体" w:hAnsi="宋体" w:eastAsia="宋体" w:cs="宋体"/>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lang w:val="en-US" w:eastAsia="zh-CN"/>
                    </w:rPr>
                    <w:t>办公</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US" w:eastAsia="zh-CN"/>
                    </w:rPr>
                    <w:t>一般固废：市政统一处理</w:t>
                  </w:r>
                  <w: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宋体" w:hAnsi="宋体" w:eastAsia="宋体" w:cs="宋体"/>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最高管理者制定了文件化的职业健康安全管理体系方针：职业健康安全方针：安全第一、守法改进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管理部</w:t>
            </w:r>
          </w:p>
          <w:p>
            <w:pPr>
              <w:rPr>
                <w:rFonts w:hint="default" w:eastAsia="宋体"/>
                <w:lang w:val="en-US" w:eastAsia="zh-CN"/>
              </w:rPr>
            </w:pPr>
            <w:r>
              <w:rPr>
                <w:rFonts w:hint="eastAsia"/>
              </w:rPr>
              <w:t>安全的主管部门是——</w:t>
            </w:r>
            <w:r>
              <w:rPr>
                <w:rFonts w:hint="eastAsia"/>
                <w:lang w:val="en-US" w:eastAsia="zh-CN"/>
              </w:rPr>
              <w:t>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员工代表是——赵震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职业健康安全目标</w:t>
                  </w:r>
                </w:p>
              </w:tc>
              <w:tc>
                <w:tcPr>
                  <w:tcW w:w="3136"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textAlignment w:val="center"/>
                    <w:rPr>
                      <w:rFonts w:hint="eastAsia" w:ascii="Times New Roman" w:hAnsi="Times New Roman" w:eastAsia="宋体" w:cs="Times New Roman"/>
                    </w:rPr>
                  </w:pPr>
                  <w:r>
                    <w:rPr>
                      <w:rFonts w:hint="eastAsia" w:ascii="宋体" w:hAnsi="宋体" w:cs="宋体"/>
                      <w:color w:val="000000"/>
                      <w:sz w:val="22"/>
                      <w:szCs w:val="22"/>
                    </w:rPr>
                    <w:t>无意外交通事故事发生</w:t>
                  </w:r>
                </w:p>
              </w:tc>
              <w:tc>
                <w:tcPr>
                  <w:tcW w:w="3136" w:type="dxa"/>
                  <w:shd w:val="clear" w:color="auto" w:fill="auto"/>
                  <w:vAlign w:val="center"/>
                </w:tcPr>
                <w:p>
                  <w:pPr>
                    <w:widowControl/>
                    <w:jc w:val="left"/>
                    <w:textAlignment w:val="center"/>
                    <w:rPr>
                      <w:rFonts w:hint="eastAsia" w:ascii="Times New Roman" w:hAnsi="Times New Roman" w:eastAsia="宋体" w:cs="Times New Roman"/>
                      <w:lang w:val="en-GB"/>
                    </w:rPr>
                  </w:pPr>
                  <w:r>
                    <w:rPr>
                      <w:rFonts w:hint="eastAsia" w:ascii="宋体" w:hAnsi="宋体" w:cs="宋体"/>
                      <w:color w:val="000000"/>
                      <w:kern w:val="0"/>
                      <w:sz w:val="22"/>
                      <w:szCs w:val="22"/>
                      <w:lang w:bidi="ar"/>
                    </w:rPr>
                    <w:t>以实际发生为准进行计数</w:t>
                  </w:r>
                </w:p>
              </w:tc>
              <w:tc>
                <w:tcPr>
                  <w:tcW w:w="1350" w:type="dxa"/>
                  <w:shd w:val="clear" w:color="auto" w:fill="auto"/>
                  <w:vAlign w:val="center"/>
                </w:tcPr>
                <w:p>
                  <w:pPr>
                    <w:rPr>
                      <w:rFonts w:hint="default" w:eastAsia="宋体"/>
                      <w:lang w:val="en-US" w:eastAsia="zh-CN"/>
                    </w:rPr>
                  </w:pPr>
                  <w:r>
                    <w:rPr>
                      <w:rFonts w:hint="eastAsia"/>
                    </w:rPr>
                    <w:t>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textAlignment w:val="center"/>
                    <w:rPr>
                      <w:rFonts w:hint="eastAsia" w:ascii="Times New Roman" w:hAnsi="Times New Roman" w:eastAsia="宋体" w:cs="Times New Roman"/>
                    </w:rPr>
                  </w:pPr>
                  <w:r>
                    <w:rPr>
                      <w:rFonts w:hint="eastAsia" w:ascii="宋体" w:hAnsi="宋体" w:cs="宋体"/>
                      <w:color w:val="000000"/>
                      <w:kern w:val="0"/>
                      <w:sz w:val="22"/>
                      <w:szCs w:val="22"/>
                      <w:lang w:eastAsia="zh-CN" w:bidi="ar"/>
                    </w:rPr>
                    <w:t>火灾事故次数为0次</w:t>
                  </w:r>
                </w:p>
              </w:tc>
              <w:tc>
                <w:tcPr>
                  <w:tcW w:w="3136" w:type="dxa"/>
                  <w:shd w:val="clear" w:color="auto" w:fill="auto"/>
                  <w:vAlign w:val="center"/>
                </w:tcPr>
                <w:p>
                  <w:pPr>
                    <w:widowControl/>
                    <w:jc w:val="left"/>
                    <w:textAlignment w:val="center"/>
                    <w:rPr>
                      <w:rFonts w:hint="eastAsia" w:ascii="Times New Roman" w:hAnsi="Times New Roman" w:eastAsia="宋体" w:cs="Times New Roman"/>
                    </w:rPr>
                  </w:pPr>
                  <w:r>
                    <w:rPr>
                      <w:rFonts w:hint="eastAsia" w:ascii="宋体" w:hAnsi="宋体" w:cs="宋体"/>
                      <w:color w:val="000000"/>
                      <w:kern w:val="0"/>
                      <w:sz w:val="22"/>
                      <w:szCs w:val="22"/>
                      <w:lang w:bidi="ar"/>
                    </w:rPr>
                    <w:t>以实际发生为准进行计数</w:t>
                  </w:r>
                </w:p>
              </w:tc>
              <w:tc>
                <w:tcPr>
                  <w:tcW w:w="1350" w:type="dxa"/>
                  <w:shd w:val="clear" w:color="auto" w:fill="auto"/>
                  <w:vAlign w:val="center"/>
                </w:tcPr>
                <w:p>
                  <w:pPr>
                    <w:rPr>
                      <w:rFonts w:hint="default" w:ascii="宋体" w:hAnsi="宋体" w:eastAsia="宋体"/>
                      <w:lang w:val="en-US" w:eastAsia="zh-CN"/>
                    </w:rPr>
                  </w:pPr>
                  <w:r>
                    <w:rPr>
                      <w:rFonts w:hint="eastAsia"/>
                    </w:rPr>
                    <w:t>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lang w:val="en-US" w:eastAsia="zh-CN"/>
              </w:rPr>
              <w:t>计算机、打印机</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sym w:font="Wingdings 2" w:char="0052"/>
                  </w:r>
                  <w:r>
                    <w:rPr>
                      <w:rFonts w:hint="eastAsia"/>
                    </w:rPr>
                    <w:t>安全装置□挂牌上锁管理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sym w:font="Wingdings 2" w:char="00A3"/>
                  </w:r>
                  <w:r>
                    <w:rPr>
                      <w:rFonts w:hint="eastAsia"/>
                    </w:rPr>
                    <w:t>除尘装置</w:t>
                  </w:r>
                  <w:r>
                    <w:rPr>
                      <w:rFonts w:hint="eastAsia"/>
                    </w:rPr>
                    <w:sym w:font="Wingdings 2" w:char="00A3"/>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sym w:font="Wingdings 2" w:char="00A3"/>
                  </w:r>
                  <w:r>
                    <w:rPr>
                      <w:rFonts w:hint="eastAsia"/>
                    </w:rPr>
                    <w:t>空间隔离</w:t>
                  </w:r>
                  <w:r>
                    <w:rPr>
                      <w:rFonts w:hint="eastAsia"/>
                    </w:rPr>
                    <w:sym w:font="Wingdings 2" w:char="00A3"/>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□定期检测□压力巡视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sym w:font="Wingdings 2" w:char="00A3"/>
                  </w:r>
                  <w:r>
                    <w:rPr>
                      <w:rFonts w:hint="eastAsia"/>
                    </w:rPr>
                    <w:t>减少作业时间□空间隔离</w:t>
                  </w:r>
                  <w:r>
                    <w:rPr>
                      <w:rFonts w:hint="eastAsia"/>
                    </w:rPr>
                    <w:sym w:font="Wingdings 2" w:char="00A3"/>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147F2942"/>
    <w:rsid w:val="1B322073"/>
    <w:rsid w:val="30BB1C81"/>
    <w:rsid w:val="49974B97"/>
    <w:rsid w:val="6F585C4F"/>
    <w:rsid w:val="75C27D42"/>
    <w:rsid w:val="76585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2022-05-11T07:10:09Z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