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bookmarkStart w:id="0" w:name="_GoBack"/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西安久通电力科技有限公司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29.12.00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李宝花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洽谈—签约—打包—发货—客户验收—收款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固废排放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材料包装物废弃、办公垃圾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，</w:t>
            </w:r>
            <w:r>
              <w:rPr>
                <w:rFonts w:hint="eastAsia"/>
                <w:b/>
                <w:sz w:val="20"/>
                <w:szCs w:val="22"/>
              </w:rPr>
              <w:t>实行垃圾分类处理，办公固废由综合办公室统一收集，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物业统一处理</w:t>
            </w:r>
            <w:r>
              <w:rPr>
                <w:rFonts w:hint="eastAsia"/>
                <w:b/>
                <w:sz w:val="20"/>
                <w:szCs w:val="22"/>
              </w:rPr>
              <w:t>。火灾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办公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过程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对重点部位按防火要求配备环保型灭火器材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严格落实各项消防规章及防火管理制度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中华人民共和国环境保护法、中华人民共和国环境影响评价法、中华人民共和国水污染防治法、中华人民共和国大气污染防治法、中华人民共和国环境噪声污染防治法、中华人民共和国固体废物污染环境防治法、中华人民共和国消防法、GB8978-1996污水综合排放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西安久通电力科技有限公司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29.12.00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李宝花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洽谈—签约—打包—发货—客户验收—收款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触电事故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严格执行安全用电规范,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办公区域线路定期检查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火灾事故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对重点部位按防火要求配备环保型灭火器材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严格落实各项消防规章及防火管理制度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交通意外事故：销售运输过程严格按照交通相关规章制度驾驶，严谨疲劳驾驶酒后驾驶。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中华人民共和国安全生产法、中华人民共和国特种设备安全法、中华人民共和国劳动法、中华人民共和国消防法、中华人民共和国妇女权益保障法、电气安全管理规程、女职工劳动保护特别规定、特种设备安全检察条例、火灾事故调查规定、消防监督检查规定、工伤保险条例、</w:t>
            </w:r>
            <w:r>
              <w:rPr>
                <w:rFonts w:hint="eastAsia" w:eastAsia="宋体"/>
                <w:b/>
                <w:sz w:val="20"/>
                <w:lang w:val="en-GB"/>
              </w:rPr>
              <w:t>未成年工特殊保护规定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bookmarkEnd w:id="0"/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2308381A"/>
    <w:rsid w:val="2A1D6DAF"/>
    <w:rsid w:val="36B35F2D"/>
    <w:rsid w:val="71BA40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2022-05-11T06:37:58Z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