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深州冀衡药业有限公司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提供的能源计量器具台账无主要耗能设备的配备情况。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能源体系建立后企业有关作业文件需要</w:t>
            </w:r>
            <w:r>
              <w:rPr>
                <w:rFonts w:hint="eastAsia"/>
                <w:lang w:val="en-US" w:eastAsia="zh-CN"/>
              </w:rPr>
              <w:t>进一步细化，如生物质颗粒没有接收的准则；供方评价表中只有质量的内容没有能源的内容等</w:t>
            </w:r>
          </w:p>
          <w:p>
            <w:pPr>
              <w:rPr>
                <w:rFonts w:hint="default"/>
                <w:lang w:val="en-US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对乙酰氨基酚母液回收：（</w:t>
            </w:r>
            <w:r>
              <w:rPr>
                <w:rFonts w:hint="eastAsia"/>
                <w:lang w:val="en-US" w:eastAsia="zh-CN"/>
              </w:rPr>
              <w:t>放</w:t>
            </w:r>
            <w:bookmarkStart w:id="12" w:name="_GoBack"/>
            <w:bookmarkEnd w:id="12"/>
            <w:r>
              <w:rPr>
                <w:rFonts w:hint="eastAsia"/>
              </w:rPr>
              <w:t>料）：打开双效蒸发器一效夹套蒸汽，压力控制在0.35MPa以下，真空压力保持在0.05~0.09MPa之间，一效控制液0.2-0.4M，二效液位控制0.2~0.4M，待温度达到90℃以上时，关闭蒸汽，停真空泵，开始放料。</w:t>
            </w:r>
          </w:p>
          <w:p>
            <w:r>
              <w:rPr>
                <w:rFonts w:hint="eastAsia"/>
              </w:rPr>
              <w:t>1）压力控制在0.35MPa以下，2）待温度达到90℃以上；要求不严谨，应有下限和上限要求。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673B5"/>
    <w:rsid w:val="21A35CBF"/>
    <w:rsid w:val="287F65AF"/>
    <w:rsid w:val="35F3569D"/>
    <w:rsid w:val="711B2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2022-05-23T02:11:03Z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