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0402-2022-Q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河北鑫旺工程建设服务有限公司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河北鑫旺工程建设服务有限公司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河北省石家庄市桥西区红旗大街88号翰林观天下22号公寓1901-1907室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河北省石家庄鹿泉绿岛经济开发区核心碧水街81号军鼎科技园14号楼</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谢姗姗</w:t>
            </w:r>
            <w:bookmarkEnd w:id="10"/>
          </w:p>
        </w:tc>
        <w:tc>
          <w:tcPr>
            <w:tcW w:w="1313" w:type="dxa"/>
            <w:vAlign w:val="center"/>
          </w:tcPr>
          <w:p>
            <w:r>
              <w:rPr>
                <w:rFonts w:hint="eastAsia"/>
              </w:rPr>
              <w:t>电话.</w:t>
            </w:r>
          </w:p>
        </w:tc>
        <w:tc>
          <w:tcPr>
            <w:tcW w:w="2180" w:type="dxa"/>
            <w:vAlign w:val="center"/>
          </w:tcPr>
          <w:p>
            <w:bookmarkStart w:id="11" w:name="联系人电话"/>
            <w:r>
              <w:t>18032179931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张静</w:t>
            </w:r>
            <w:bookmarkEnd w:id="13"/>
          </w:p>
        </w:tc>
        <w:tc>
          <w:tcPr>
            <w:tcW w:w="1313" w:type="dxa"/>
            <w:vAlign w:val="center"/>
          </w:tcPr>
          <w:p>
            <w:r>
              <w:rPr>
                <w:rFonts w:hint="eastAsia"/>
              </w:rPr>
              <w:t>管理者代表</w:t>
            </w:r>
          </w:p>
        </w:tc>
        <w:tc>
          <w:tcPr>
            <w:tcW w:w="2180" w:type="dxa"/>
          </w:tcPr>
          <w:p>
            <w:bookmarkStart w:id="14" w:name="管理者代表"/>
            <w:r>
              <w:t>谢姗姗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客户委托---合同评审---合同签订---现场踏勘---编制环境影响评价报告---环境影响评价文件编制完成---开专家评审会---按专家会修改报告---报生态环境部审批---项目批复（出批文）---项目完成</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2022年05月14日 上午至2022年05月14日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00"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7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8" w:name="二阶段勾选"/>
            <w:r>
              <w:rPr>
                <w:rFonts w:hint="eastAsia"/>
              </w:rPr>
              <w:t>■</w:t>
            </w:r>
            <w:bookmarkEnd w:id="18"/>
            <w:r>
              <w:rPr>
                <w:rFonts w:hint="eastAsia"/>
              </w:rPr>
              <w:t>初审二阶段</w:t>
            </w:r>
            <w:bookmarkStart w:id="19" w:name="监督勾选Add1"/>
            <w:r>
              <w:rPr>
                <w:rFonts w:hint="eastAsia"/>
              </w:rPr>
              <w:t>□</w:t>
            </w:r>
            <w:bookmarkEnd w:id="19"/>
            <w:r>
              <w:rPr>
                <w:rFonts w:hint="eastAsia"/>
              </w:rPr>
              <w:t>监督第</w:t>
            </w:r>
            <w:bookmarkStart w:id="20" w:name="监督次数"/>
            <w:bookmarkEnd w:id="20"/>
            <w:r>
              <w:rPr>
                <w:rFonts w:hint="eastAsia"/>
              </w:rPr>
              <w:t>次监督审核</w:t>
            </w:r>
            <w:bookmarkStart w:id="21" w:name="再认证勾选"/>
            <w:r>
              <w:rPr>
                <w:rFonts w:hint="eastAsia"/>
              </w:rPr>
              <w:t>□</w:t>
            </w:r>
            <w:bookmarkEnd w:id="21"/>
            <w:r>
              <w:rPr>
                <w:rFonts w:hint="eastAsia"/>
              </w:rPr>
              <w:t>再认证</w:t>
            </w:r>
            <w:bookmarkStart w:id="22" w:name="扩项勾选Add1"/>
            <w:r>
              <w:rPr>
                <w:rFonts w:hint="eastAsia"/>
              </w:rPr>
              <w:t>□</w:t>
            </w:r>
            <w:bookmarkEnd w:id="2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楷体" w:hAnsi="楷体" w:eastAsia="楷体" w:cs="楷体"/>
                <w:sz w:val="21"/>
                <w:szCs w:val="21"/>
              </w:rPr>
              <w:t>河北省石家庄鹿泉绿岛经济开发区核心碧水街81号军鼎科技园14号楼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3" w:name="审核范围"/>
            <w:r>
              <w:t>建设项目环境影响评价</w:t>
            </w:r>
            <w:bookmarkEnd w:id="2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4" w:name="专业代码"/>
            <w:r>
              <w:t>34.06.00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河北鑫旺工程建设服务有限公司</w:t>
            </w:r>
          </w:p>
          <w:p>
            <w:pPr>
              <w:pStyle w:val="2"/>
              <w:rPr>
                <w:lang w:val="de-DE" w:eastAsia="ja-JP"/>
              </w:rPr>
            </w:pPr>
            <w:r>
              <w:rPr>
                <w:rFonts w:hint="eastAsia" w:ascii="楷体" w:hAnsi="楷体" w:eastAsia="楷体" w:cs="楷体"/>
                <w:sz w:val="21"/>
                <w:szCs w:val="21"/>
              </w:rPr>
              <w:t>河北省石家庄鹿泉绿岛经济开发区核心碧水街81号军鼎科技园14号楼</w:t>
            </w:r>
          </w:p>
        </w:tc>
        <w:tc>
          <w:tcPr>
            <w:tcW w:w="2267" w:type="dxa"/>
          </w:tcPr>
          <w:p>
            <w:pPr>
              <w:rPr>
                <w:lang w:val="de-DE" w:eastAsia="ja-JP"/>
              </w:rPr>
            </w:pPr>
            <w:r>
              <w:rPr>
                <w:rFonts w:hint="eastAsia" w:ascii="楷体" w:hAnsi="楷体" w:eastAsia="楷体" w:cs="楷体"/>
                <w:sz w:val="21"/>
                <w:szCs w:val="21"/>
              </w:rPr>
              <w:t>河北省石家庄鹿泉绿岛经济开发区核心碧水街81号军鼎科技园14号楼</w:t>
            </w:r>
          </w:p>
        </w:tc>
        <w:tc>
          <w:tcPr>
            <w:tcW w:w="571" w:type="dxa"/>
            <w:vAlign w:val="center"/>
          </w:tcPr>
          <w:p>
            <w:pPr>
              <w:rPr>
                <w:rFonts w:hint="eastAsia" w:eastAsia="宋体"/>
                <w:lang w:val="en-US" w:eastAsia="zh-CN"/>
              </w:rPr>
            </w:pPr>
            <w:r>
              <w:rPr>
                <w:rFonts w:hint="eastAsia"/>
                <w:lang w:val="en-US" w:eastAsia="zh-CN"/>
              </w:rPr>
              <w:t>25</w:t>
            </w:r>
          </w:p>
        </w:tc>
        <w:tc>
          <w:tcPr>
            <w:tcW w:w="2803" w:type="dxa"/>
            <w:vAlign w:val="center"/>
          </w:tcPr>
          <w:p>
            <w:pPr>
              <w:rPr>
                <w:lang w:eastAsia="ja-JP"/>
              </w:rPr>
            </w:pPr>
            <w:r>
              <w:t>建设项目环境影响评价</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5" w:name="Q勾选Add2"/>
            <w:r>
              <w:rPr>
                <w:rFonts w:hint="eastAsia"/>
              </w:rPr>
              <w:t>■</w:t>
            </w:r>
            <w:bookmarkEnd w:id="2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90600" cy="3365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90600" cy="3365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2022.5.14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hint="eastAsia" w:eastAsia="微软雅黑"/>
          <w:lang w:val="en-US" w:eastAsia="zh-CN"/>
        </w:rPr>
      </w:pPr>
      <w:r>
        <w:rPr>
          <w:rFonts w:hint="eastAsia" w:eastAsia="微软雅黑"/>
          <w:lang w:val="en-US" w:eastAsia="zh-CN"/>
        </w:rPr>
        <w:t xml:space="preserve"> </w:t>
      </w:r>
    </w:p>
    <w:p>
      <w:pPr>
        <w:pStyle w:val="2"/>
        <w:rPr>
          <w:rFonts w:hint="eastAsia" w:eastAsia="微软雅黑"/>
          <w:lang w:val="en-US" w:eastAsia="zh-CN"/>
        </w:rPr>
      </w:pPr>
    </w:p>
    <w:p>
      <w:pPr>
        <w:pStyle w:val="2"/>
        <w:rPr>
          <w:rFonts w:hint="eastAsia" w:eastAsia="微软雅黑"/>
          <w:lang w:val="en-US" w:eastAsia="zh-CN"/>
        </w:rPr>
      </w:pPr>
    </w:p>
    <w:p>
      <w:pPr>
        <w:pStyle w:val="2"/>
        <w:rPr>
          <w:rFonts w:hint="eastAsia" w:eastAsia="微软雅黑"/>
          <w:lang w:val="en-US" w:eastAsia="zh-CN"/>
        </w:rPr>
      </w:pPr>
    </w:p>
    <w:p>
      <w:pPr>
        <w:pStyle w:val="2"/>
        <w:rPr>
          <w:rFonts w:hint="eastAsia" w:eastAsia="微软雅黑"/>
          <w:lang w:val="en-US" w:eastAsia="zh-CN"/>
        </w:rPr>
      </w:pPr>
    </w:p>
    <w:p>
      <w:pPr>
        <w:pStyle w:val="2"/>
        <w:rPr>
          <w:rFonts w:hint="eastAsia" w:eastAsia="微软雅黑"/>
          <w:lang w:val="en-US" w:eastAsia="zh-CN"/>
        </w:rPr>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US" w:eastAsia="zh-CN"/>
              </w:rPr>
              <w:t>无</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rPr>
            </w:pPr>
            <w:r>
              <w:rPr>
                <w:rFonts w:hint="eastAsia"/>
              </w:rPr>
              <w:t>最高管理者制定了文件化的管理体系方针：</w:t>
            </w:r>
          </w:p>
          <w:p>
            <w:pPr>
              <w:rPr>
                <w:rFonts w:hint="eastAsia" w:ascii="楷体" w:hAnsi="楷体" w:eastAsia="楷体" w:cs="楷体"/>
                <w:sz w:val="21"/>
                <w:szCs w:val="21"/>
              </w:rPr>
            </w:pPr>
            <w:r>
              <w:rPr>
                <w:rFonts w:hint="eastAsia" w:ascii="楷体" w:hAnsi="楷体" w:eastAsia="楷体" w:cs="楷体"/>
                <w:sz w:val="21"/>
                <w:szCs w:val="21"/>
              </w:rPr>
              <w:t>把握市场靠质量</w:t>
            </w:r>
          </w:p>
          <w:p>
            <w:pPr>
              <w:rPr>
                <w:rFonts w:hint="eastAsia" w:ascii="楷体" w:hAnsi="楷体" w:eastAsia="楷体" w:cs="楷体"/>
                <w:sz w:val="21"/>
                <w:szCs w:val="21"/>
              </w:rPr>
            </w:pPr>
            <w:r>
              <w:rPr>
                <w:rFonts w:hint="eastAsia" w:ascii="楷体" w:hAnsi="楷体" w:eastAsia="楷体" w:cs="楷体"/>
                <w:sz w:val="21"/>
                <w:szCs w:val="21"/>
              </w:rPr>
              <w:t>客户满意靠真诚</w:t>
            </w:r>
          </w:p>
          <w:p>
            <w:pPr>
              <w:shd w:val="clear" w:color="auto" w:fill="C7DAF1" w:themeFill="text2" w:themeFillTint="32"/>
              <w:rPr>
                <w:u w:val="single"/>
              </w:rPr>
            </w:pPr>
            <w:r>
              <w:rPr>
                <w:rFonts w:hint="eastAsia" w:ascii="楷体" w:hAnsi="楷体" w:eastAsia="楷体" w:cs="楷体"/>
                <w:sz w:val="21"/>
                <w:szCs w:val="21"/>
              </w:rPr>
              <w:t>持续改进靠管理</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技术部、办公室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风险：</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1、合同评审不全面风险</w:t>
                  </w:r>
                  <w:r>
                    <w:rPr>
                      <w:rFonts w:hint="eastAsia" w:ascii="楷体" w:hAnsi="楷体" w:eastAsia="楷体" w:cs="楷体"/>
                      <w:b w:val="0"/>
                      <w:bCs w:val="0"/>
                      <w:sz w:val="21"/>
                      <w:szCs w:val="21"/>
                    </w:rPr>
                    <w:tab/>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2、合同变更风险</w:t>
                  </w:r>
                  <w:r>
                    <w:rPr>
                      <w:rFonts w:hint="eastAsia" w:ascii="楷体" w:hAnsi="楷体" w:eastAsia="楷体" w:cs="楷体"/>
                      <w:b w:val="0"/>
                      <w:bCs w:val="0"/>
                      <w:sz w:val="21"/>
                      <w:szCs w:val="21"/>
                    </w:rPr>
                    <w:tab/>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3、数据分析不准确，导致分析结论不合理</w:t>
                  </w:r>
                  <w:r>
                    <w:rPr>
                      <w:rFonts w:hint="eastAsia" w:ascii="楷体" w:hAnsi="楷体" w:eastAsia="楷体" w:cs="楷体"/>
                      <w:b w:val="0"/>
                      <w:bCs w:val="0"/>
                      <w:sz w:val="21"/>
                      <w:szCs w:val="21"/>
                    </w:rPr>
                    <w:tab/>
                  </w:r>
                </w:p>
                <w:p>
                  <w:pPr>
                    <w:shd w:val="clear" w:color="auto" w:fill="C7DAF1" w:themeFill="text2" w:themeFillTint="32"/>
                  </w:pPr>
                  <w:r>
                    <w:rPr>
                      <w:rFonts w:hint="eastAsia" w:ascii="楷体" w:hAnsi="楷体" w:eastAsia="楷体" w:cs="楷体"/>
                      <w:b w:val="0"/>
                      <w:bCs w:val="0"/>
                      <w:sz w:val="21"/>
                      <w:szCs w:val="21"/>
                    </w:rPr>
                    <w:t>4、市场及同行竞争风险</w:t>
                  </w:r>
                  <w:r>
                    <w:rPr>
                      <w:rFonts w:hint="eastAsia" w:ascii="楷体" w:hAnsi="楷体" w:eastAsia="楷体" w:cs="楷体"/>
                      <w:b w:val="0"/>
                      <w:bCs w:val="0"/>
                      <w:sz w:val="21"/>
                      <w:szCs w:val="21"/>
                    </w:rPr>
                    <w:tab/>
                  </w:r>
                </w:p>
              </w:tc>
              <w:tc>
                <w:tcPr>
                  <w:tcW w:w="3965" w:type="dxa"/>
                </w:tcPr>
                <w:p>
                  <w:pPr>
                    <w:shd w:val="clear" w:color="auto" w:fill="C7DAF1" w:themeFill="text2" w:themeFillTint="32"/>
                    <w:rPr>
                      <w:rFonts w:hint="eastAsia"/>
                    </w:rPr>
                  </w:pPr>
                </w:p>
                <w:p>
                  <w:pPr>
                    <w:shd w:val="clear" w:color="auto" w:fill="C7DAF1" w:themeFill="text2" w:themeFillTint="32"/>
                    <w:rPr>
                      <w:rFonts w:hint="eastAsia"/>
                    </w:rPr>
                  </w:pPr>
                  <w:r>
                    <w:rPr>
                      <w:rFonts w:hint="eastAsia"/>
                    </w:rPr>
                    <w:t>明确顾客合同要求；</w:t>
                  </w:r>
                </w:p>
                <w:p>
                  <w:pPr>
                    <w:pStyle w:val="2"/>
                    <w:rPr>
                      <w:rFonts w:hint="eastAsia" w:ascii="楷体" w:hAnsi="楷体" w:eastAsia="楷体" w:cs="楷体"/>
                      <w:b w:val="0"/>
                      <w:bCs w:val="0"/>
                      <w:sz w:val="21"/>
                      <w:szCs w:val="21"/>
                    </w:rPr>
                  </w:pPr>
                  <w:r>
                    <w:rPr>
                      <w:rFonts w:hint="eastAsia" w:ascii="楷体" w:hAnsi="楷体" w:eastAsia="楷体" w:cs="楷体"/>
                      <w:b w:val="0"/>
                      <w:bCs w:val="0"/>
                      <w:sz w:val="21"/>
                      <w:szCs w:val="21"/>
                    </w:rPr>
                    <w:t>及时明确评审并传达到响应部门；</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数据分析必须准确，对数据的真实性进行监督</w:t>
                  </w:r>
                </w:p>
                <w:p>
                  <w:pPr>
                    <w:pStyle w:val="2"/>
                    <w:rPr>
                      <w:rFonts w:hint="eastAsia" w:ascii="楷体" w:hAnsi="楷体" w:eastAsia="楷体" w:cs="楷体"/>
                      <w:b w:val="0"/>
                      <w:bCs w:val="0"/>
                      <w:sz w:val="21"/>
                      <w:szCs w:val="21"/>
                    </w:rPr>
                  </w:pPr>
                  <w:r>
                    <w:rPr>
                      <w:rFonts w:hint="eastAsia" w:ascii="楷体" w:hAnsi="楷体" w:eastAsia="楷体" w:cs="楷体"/>
                      <w:b w:val="0"/>
                      <w:bCs w:val="0"/>
                      <w:sz w:val="21"/>
                      <w:szCs w:val="21"/>
                    </w:rPr>
                    <w:t>加强企业文化建设、提升竞争力</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val="en-US" w:eastAsia="zh-CN"/>
                    </w:rPr>
                  </w:pPr>
                  <w:r>
                    <w:rPr>
                      <w:rFonts w:hint="eastAsia"/>
                      <w:lang w:val="en-US" w:eastAsia="zh-CN"/>
                    </w:rPr>
                    <w:t>机遇：</w:t>
                  </w:r>
                  <w:r>
                    <w:rPr>
                      <w:rFonts w:hint="eastAsia" w:ascii="楷体" w:hAnsi="楷体" w:eastAsia="楷体" w:cs="楷体"/>
                      <w:b w:val="0"/>
                      <w:bCs w:val="0"/>
                      <w:sz w:val="21"/>
                      <w:szCs w:val="21"/>
                      <w:lang w:val="en-US" w:eastAsia="zh-CN"/>
                    </w:rPr>
                    <w:t>随着国家对环境保护的日益重视，2021年国家的碳中和承诺，已列入</w:t>
                  </w:r>
                  <w:r>
                    <w:rPr>
                      <w:rFonts w:hint="eastAsia" w:ascii="楷体" w:hAnsi="楷体" w:eastAsia="楷体" w:cs="楷体"/>
                      <w:b w:val="0"/>
                      <w:bCs w:val="0"/>
                      <w:i w:val="0"/>
                      <w:caps w:val="0"/>
                      <w:color w:val="222222"/>
                      <w:spacing w:val="0"/>
                      <w:sz w:val="21"/>
                      <w:szCs w:val="21"/>
                      <w:shd w:val="clear" w:fill="FFFFFF"/>
                    </w:rPr>
                    <w:t>2021-2025年关键发展目标的“十四五”规划的一部分</w:t>
                  </w:r>
                  <w:r>
                    <w:rPr>
                      <w:rFonts w:hint="eastAsia" w:ascii="楷体" w:hAnsi="楷体" w:eastAsia="楷体" w:cs="楷体"/>
                      <w:b w:val="0"/>
                      <w:bCs w:val="0"/>
                      <w:i w:val="0"/>
                      <w:caps w:val="0"/>
                      <w:color w:val="222222"/>
                      <w:spacing w:val="0"/>
                      <w:sz w:val="21"/>
                      <w:szCs w:val="21"/>
                      <w:shd w:val="clear" w:fill="FFFFFF"/>
                      <w:lang w:eastAsia="zh-CN"/>
                    </w:rPr>
                    <w:t>，</w:t>
                  </w:r>
                  <w:r>
                    <w:rPr>
                      <w:rFonts w:hint="eastAsia" w:ascii="楷体" w:hAnsi="楷体" w:eastAsia="楷体" w:cs="楷体"/>
                      <w:b w:val="0"/>
                      <w:bCs w:val="0"/>
                      <w:i w:val="0"/>
                      <w:caps w:val="0"/>
                      <w:color w:val="222222"/>
                      <w:spacing w:val="0"/>
                      <w:sz w:val="21"/>
                      <w:szCs w:val="21"/>
                      <w:shd w:val="clear" w:fill="FFFFFF"/>
                      <w:lang w:val="en-US" w:eastAsia="zh-CN"/>
                    </w:rPr>
                    <w:t>使得公司所从事行业市场前景看好，且进入2022年以来，业务量明显增加</w:t>
                  </w:r>
                </w:p>
              </w:tc>
              <w:tc>
                <w:tcPr>
                  <w:tcW w:w="3965" w:type="dxa"/>
                </w:tcPr>
                <w:p>
                  <w:pPr>
                    <w:shd w:val="clear" w:color="auto" w:fill="C7DAF1" w:themeFill="text2" w:themeFillTint="32"/>
                  </w:pPr>
                  <w:r>
                    <w:rPr>
                      <w:rFonts w:hint="eastAsia" w:ascii="楷体" w:hAnsi="楷体" w:eastAsia="楷体" w:cs="楷体"/>
                      <w:b w:val="0"/>
                      <w:bCs w:val="0"/>
                      <w:i w:val="0"/>
                      <w:caps w:val="0"/>
                      <w:color w:val="222222"/>
                      <w:spacing w:val="0"/>
                      <w:sz w:val="21"/>
                      <w:szCs w:val="21"/>
                      <w:shd w:val="clear" w:fill="FFFFFF"/>
                      <w:lang w:val="en-US" w:eastAsia="zh-CN"/>
                    </w:rPr>
                    <w:t>面对机遇，公司将提高技术、市场开拓能力，通过坚强队伍建设，招聘专业人才，开展技术培训等措施，来达成目标</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楷体" w:hAnsi="楷体" w:eastAsia="楷体" w:cs="楷体"/>
                      <w:sz w:val="21"/>
                      <w:szCs w:val="21"/>
                    </w:rPr>
                    <w:t>服务考核合格率95%</w:t>
                  </w:r>
                </w:p>
              </w:tc>
              <w:tc>
                <w:tcPr>
                  <w:tcW w:w="3136"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项目交验合格数/项目总数*100%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技术部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楷体" w:hAnsi="楷体" w:eastAsia="楷体" w:cs="楷体"/>
                      <w:b w:val="0"/>
                      <w:bCs w:val="0"/>
                      <w:sz w:val="21"/>
                      <w:szCs w:val="21"/>
                    </w:rPr>
                    <w:t xml:space="preserve">顾客满意度≥95% </w:t>
                  </w:r>
                </w:p>
              </w:tc>
              <w:tc>
                <w:tcPr>
                  <w:tcW w:w="3136"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见顾客满意度分析</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eastAsia="zh-CN"/>
              </w:rPr>
              <w:t>：</w:t>
            </w:r>
            <w:r>
              <w:rPr>
                <w:rFonts w:hint="eastAsia"/>
                <w:lang w:val="en-US" w:eastAsia="zh-CN"/>
              </w:rPr>
              <w:t>3600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lang w:val="en-US" w:eastAsia="zh-CN"/>
              </w:rPr>
              <w:t>办公设施</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检查表格</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w:t>
            </w:r>
            <w:r>
              <w:rPr>
                <w:rFonts w:hint="eastAsia"/>
                <w:lang w:val="en-US" w:eastAsia="zh-CN"/>
              </w:rPr>
              <w:t>/服务</w:t>
            </w:r>
            <w:r>
              <w:rPr>
                <w:rFonts w:hint="eastAsia"/>
              </w:rPr>
              <w:t>标准</w:t>
            </w:r>
            <w:r>
              <w:rPr>
                <w:rFonts w:hint="eastAsia" w:ascii="Wingdings" w:hAnsi="Wingdings"/>
              </w:rPr>
              <w:t>¨</w:t>
            </w:r>
            <w:r>
              <w:rPr>
                <w:rFonts w:hint="eastAsia"/>
              </w:rPr>
              <w:t>学术交流信息</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 xml:space="preserve"> </w:t>
            </w:r>
            <w:r>
              <w:rPr>
                <w:rFonts w:hint="eastAsia"/>
                <w:lang w:val="en-US" w:eastAsia="zh-CN"/>
              </w:rPr>
              <w:t xml:space="preserve"> </w:t>
            </w:r>
            <w:r>
              <w:rPr>
                <w:rFonts w:hint="eastAsia"/>
              </w:rPr>
              <w:t>顾客要求</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rPr>
                      <w:rFonts w:hint="eastAsia" w:ascii="楷体" w:hAnsi="楷体" w:eastAsia="楷体" w:cs="楷体"/>
                      <w:sz w:val="21"/>
                      <w:szCs w:val="21"/>
                    </w:rPr>
                  </w:pPr>
                  <w:r>
                    <w:rPr>
                      <w:rFonts w:hint="eastAsia" w:ascii="楷体" w:hAnsi="楷体" w:eastAsia="楷体" w:cs="楷体"/>
                      <w:sz w:val="21"/>
                      <w:szCs w:val="21"/>
                      <w:lang w:val="en-US" w:eastAsia="zh-CN"/>
                    </w:rPr>
                    <w:t>建设项目环境影响评价</w:t>
                  </w:r>
                </w:p>
                <w:p>
                  <w:pPr>
                    <w:shd w:val="clear" w:color="auto" w:fill="C7DAF1" w:themeFill="text2" w:themeFillTint="32"/>
                    <w:jc w:val="left"/>
                  </w:pP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现场踏勘、数据资料收集、编制报告</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楷体" w:hAnsi="楷体" w:eastAsia="楷体" w:cs="楷体"/>
                <w:sz w:val="21"/>
                <w:szCs w:val="21"/>
                <w:lang w:val="en-US" w:eastAsia="zh-CN"/>
              </w:rPr>
              <w:t>建设项目环境影响评价</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w:t>
            </w:r>
            <w:r>
              <w:rPr>
                <w:rFonts w:hint="eastAsia"/>
                <w:lang w:val="en-US" w:eastAsia="zh-CN"/>
              </w:rPr>
              <w:t xml:space="preserve"> </w:t>
            </w:r>
            <w:r>
              <w:rPr>
                <w:rFonts w:hint="eastAsia"/>
              </w:rPr>
              <w:t>储存、传输以及保护。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val="en-US" w:eastAsia="zh-CN"/>
              </w:rPr>
              <w:t xml:space="preserve"> </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28" w:name="_GoBack"/>
            <w:bookmarkEnd w:id="28"/>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hint="eastAsia" w:eastAsia="微软雅黑"/>
          <w:sz w:val="20"/>
          <w:szCs w:val="20"/>
          <w:lang w:eastAsia="zh-CN"/>
        </w:rPr>
      </w:pPr>
      <w:r>
        <w:rPr>
          <w:rFonts w:hint="eastAsia" w:eastAsia="微软雅黑"/>
          <w:sz w:val="20"/>
          <w:szCs w:val="20"/>
          <w:lang w:val="en-US" w:eastAsia="zh-CN"/>
        </w:rPr>
        <w:t xml:space="preserve"> </w:t>
      </w:r>
    </w:p>
    <w:p>
      <w:pPr>
        <w:spacing w:before="40" w:after="40"/>
        <w:rPr>
          <w:rFonts w:eastAsia="微软雅黑"/>
          <w:sz w:val="20"/>
          <w:szCs w:val="20"/>
        </w:rPr>
      </w:pPr>
    </w:p>
    <w:p>
      <w:pPr>
        <w:spacing w:before="40" w:after="40"/>
        <w:rPr>
          <w:rFonts w:eastAsia="微软雅黑"/>
          <w:sz w:val="20"/>
          <w:szCs w:val="20"/>
        </w:rPr>
      </w:pPr>
    </w:p>
    <w:p>
      <w:pPr>
        <w:pStyle w:val="2"/>
        <w:rPr>
          <w:rFonts w:hint="eastAsia" w:eastAsia="微软雅黑"/>
          <w:lang w:val="en-US" w:eastAsia="zh-CN"/>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北魏楷书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 w:name="Arial Unicode MS">
    <w:altName w:val="宋体"/>
    <w:panose1 w:val="020B0604020202020204"/>
    <w:charset w:val="86"/>
    <w:family w:val="swiss"/>
    <w:pitch w:val="default"/>
    <w:sig w:usb0="00000000" w:usb1="00000000" w:usb2="0000003F" w:usb3="00000000" w:csb0="003F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STSongStd-Light">
    <w:altName w:val="Times New Roman"/>
    <w:panose1 w:val="00000000000000000000"/>
    <w:charset w:val="00"/>
    <w:family w:val="roman"/>
    <w:pitch w:val="default"/>
    <w:sig w:usb0="00000000" w:usb1="00000000" w:usb2="00000000" w:usb3="00000000" w:csb0="00000001"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7B266EE"/>
    <w:rsid w:val="71BA7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2022-05-15T09:19:48Z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