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0350-2022-Q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洛阳吉城商贸有限公司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2022年05月11日 上午至2022年05月11日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8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w:t>
            </w:r>
            <w:r>
              <w:rPr>
                <w:rFonts w:hint="eastAsia" w:ascii="宋体"/>
                <w:b/>
                <w:color w:val="000000"/>
                <w:szCs w:val="21"/>
                <w:lang w:eastAsia="zh-CN"/>
              </w:rPr>
              <w:t>☑</w:t>
            </w:r>
            <w:r>
              <w:rPr>
                <w:rFonts w:hint="eastAsia" w:ascii="宋体"/>
                <w:b/>
                <w:color w:val="00000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2021-N1QMS-4072033</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洛阳吉城商贸有限公司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洛阳市西工区王城大道221号4幢1-2503</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471000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r>
              <w:rPr>
                <w:rFonts w:ascii="宋体" w:hAnsi="Times New Roman" w:eastAsia="宋体" w:cs="Times New Roman"/>
                <w:b/>
                <w:color w:val="000000"/>
                <w:szCs w:val="21"/>
              </w:rPr>
              <w:t>洛阳市</w:t>
            </w:r>
            <w:r>
              <w:rPr>
                <w:rFonts w:hint="eastAsia" w:ascii="宋体" w:hAnsi="Times New Roman" w:eastAsia="宋体" w:cs="Times New Roman"/>
                <w:b/>
                <w:color w:val="000000"/>
                <w:szCs w:val="21"/>
                <w:lang w:val="en-US" w:eastAsia="zh-CN"/>
              </w:rPr>
              <w:t>孟津</w:t>
            </w:r>
            <w:r>
              <w:rPr>
                <w:rFonts w:ascii="宋体" w:hAnsi="Times New Roman" w:eastAsia="宋体" w:cs="Times New Roman"/>
                <w:b/>
                <w:color w:val="000000"/>
                <w:szCs w:val="21"/>
              </w:rPr>
              <w:t>区</w:t>
            </w:r>
            <w:bookmarkEnd w:id="27"/>
            <w:r>
              <w:rPr>
                <w:rFonts w:hint="eastAsia" w:ascii="宋体" w:hAnsi="Times New Roman" w:eastAsia="宋体" w:cs="Times New Roman"/>
                <w:b/>
                <w:color w:val="000000"/>
                <w:szCs w:val="21"/>
                <w:lang w:val="en-US" w:eastAsia="zh-CN"/>
              </w:rPr>
              <w:t>吉利文化路6号</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hAnsi="Times New Roman" w:eastAsia="宋体" w:cs="Times New Roman"/>
                <w:b/>
                <w:color w:val="000000"/>
                <w:szCs w:val="21"/>
              </w:rPr>
            </w:pPr>
            <w:r>
              <w:rPr>
                <w:rFonts w:ascii="宋体" w:hAnsi="Times New Roman" w:eastAsia="宋体" w:cs="Times New Roman"/>
                <w:b/>
                <w:color w:val="000000"/>
                <w:szCs w:val="21"/>
              </w:rPr>
              <w:t>471100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张钰</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both"/>
              <w:rPr>
                <w:rFonts w:ascii="宋体"/>
                <w:b/>
                <w:color w:val="000000"/>
                <w:szCs w:val="21"/>
              </w:rPr>
            </w:pPr>
            <w:bookmarkStart w:id="29" w:name="联系人手机"/>
            <w:r>
              <w:rPr>
                <w:rFonts w:ascii="宋体"/>
                <w:b/>
                <w:color w:val="000000"/>
                <w:szCs w:val="21"/>
              </w:rPr>
              <w:t>1352593945</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r>
              <w:rPr>
                <w:rFonts w:ascii="宋体"/>
                <w:b/>
                <w:color w:val="000000"/>
                <w:szCs w:val="21"/>
              </w:rPr>
              <w:t>0379-66900258</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胡南堂</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张钰</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cs="宋体"/>
                <w:color w:val="000000"/>
                <w:kern w:val="0"/>
                <w:szCs w:val="21"/>
              </w:rPr>
              <w:t>电器设备、仪器仪表、机械设备及配件、电线电缆、水暖阀门、金属材料（不含贵金属）、五金工具、土杂产品、轴承、建筑材料、计算机及配件、办公用品、针纺织品、化工产品（不含易燃易爆易制毒危险化学品）、装饰材料、通讯设备、包装材料、日用百货、工艺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cs="宋体"/>
                <w:color w:val="000000"/>
                <w:kern w:val="0"/>
                <w:szCs w:val="21"/>
                <w:lang w:val="en-US" w:eastAsia="zh-CN"/>
              </w:rPr>
              <w:t>销售活动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color w:val="000000"/>
                <w:szCs w:val="18"/>
              </w:rPr>
            </w:pPr>
            <w:r>
              <w:rPr>
                <w:rFonts w:hint="eastAsia" w:ascii="宋体" w:hAnsi="宋体"/>
                <w:color w:val="000000"/>
                <w:spacing w:val="12"/>
                <w:szCs w:val="21"/>
                <w:lang w:val="en-US" w:eastAsia="zh-CN"/>
              </w:rPr>
              <w:t xml:space="preserve"> </w:t>
            </w:r>
            <w:r>
              <w:rPr>
                <w:rFonts w:hint="eastAsia" w:ascii="Times New Roman" w:hAnsi="Times New Roman" w:eastAsia="宋体" w:cs="Times New Roman"/>
                <w:color w:val="000000"/>
                <w:lang w:val="en-US" w:eastAsia="zh-CN"/>
              </w:rPr>
              <w:t>业务洽谈→签订合同→采购→交付</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bookmarkStart w:id="33" w:name="审核范围"/>
            <w:r>
              <w:rPr>
                <w:rFonts w:hint="eastAsia" w:eastAsia="宋体"/>
                <w:color w:val="000000"/>
                <w:szCs w:val="21"/>
                <w:u w:val="single"/>
              </w:rPr>
              <w:t>电器设备、仪器仪表、机械设备及配件、电线电缆、水暖阀门、金属材料（不含贵金属）、五金工具、土杂产品、轴承、建筑材料、计算机及配件、办公用品、针纺织品、化工产品（不含易燃易爆易制毒危险化学品）、装饰材料、通讯设备、包装材料、日用百货、工艺礼品（不含文物）的销售</w:t>
            </w:r>
            <w:bookmarkEnd w:id="33"/>
            <w:r>
              <w:rPr>
                <w:rFonts w:hint="eastAsia" w:eastAsia="宋体"/>
                <w:color w:val="000000"/>
                <w:szCs w:val="21"/>
                <w:u w:val="single"/>
              </w:rPr>
              <w:t>；</w:t>
            </w:r>
          </w:p>
        </w:tc>
        <w:tc>
          <w:tcPr>
            <w:tcW w:w="2006" w:type="dxa"/>
            <w:gridSpan w:val="3"/>
            <w:vAlign w:val="center"/>
          </w:tcPr>
          <w:p>
            <w:pPr>
              <w:spacing w:line="400" w:lineRule="exact"/>
              <w:rPr>
                <w:rFonts w:ascii="宋体" w:hAnsi="宋体"/>
                <w:b/>
                <w:color w:val="000000"/>
                <w:szCs w:val="21"/>
              </w:rPr>
            </w:pPr>
            <w:bookmarkStart w:id="34" w:name="专业代码"/>
            <w:r>
              <w:rPr>
                <w:rFonts w:hint="eastAsia" w:ascii="宋体" w:hAnsi="宋体" w:cs="宋体"/>
                <w:color w:val="000000"/>
                <w:kern w:val="0"/>
                <w:szCs w:val="24"/>
              </w:rPr>
              <w:t>29.12.00</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76"/>
        <w:gridCol w:w="1220"/>
        <w:gridCol w:w="450"/>
        <w:gridCol w:w="4562"/>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67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22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45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4562"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676" w:type="dxa"/>
          </w:tcPr>
          <w:p>
            <w:pPr>
              <w:spacing w:before="40" w:after="40"/>
              <w:rPr>
                <w:rFonts w:hint="eastAsia" w:eastAsia="宋体"/>
                <w:szCs w:val="21"/>
                <w:lang w:val="en-US" w:eastAsia="zh-CN"/>
              </w:rPr>
            </w:pPr>
            <w:r>
              <w:rPr>
                <w:rFonts w:hint="eastAsia" w:ascii="宋体" w:hAnsi="宋体" w:cs="宋体"/>
                <w:color w:val="000000"/>
                <w:kern w:val="0"/>
                <w:szCs w:val="21"/>
              </w:rPr>
              <w:t>洛阳吉城商贸有限公司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洛阳市西工区王城大道221号4幢1-2503</w:t>
            </w:r>
          </w:p>
        </w:tc>
        <w:tc>
          <w:tcPr>
            <w:tcW w:w="1220" w:type="dxa"/>
          </w:tcPr>
          <w:p>
            <w:pPr>
              <w:spacing w:before="40" w:after="40"/>
              <w:rPr>
                <w:rFonts w:eastAsia="黑体"/>
                <w:szCs w:val="21"/>
                <w:lang w:val="de-DE" w:eastAsia="ja-JP"/>
              </w:rPr>
            </w:pPr>
            <w:r>
              <w:rPr>
                <w:sz w:val="21"/>
                <w:szCs w:val="21"/>
              </w:rPr>
              <w:t>洛阳市</w:t>
            </w:r>
            <w:r>
              <w:rPr>
                <w:rFonts w:hint="eastAsia"/>
                <w:sz w:val="21"/>
                <w:szCs w:val="21"/>
                <w:lang w:val="en-US" w:eastAsia="zh-CN"/>
              </w:rPr>
              <w:t>孟津</w:t>
            </w:r>
            <w:r>
              <w:rPr>
                <w:sz w:val="21"/>
                <w:szCs w:val="21"/>
              </w:rPr>
              <w:t>区</w:t>
            </w:r>
            <w:r>
              <w:rPr>
                <w:rFonts w:hint="eastAsia"/>
                <w:sz w:val="21"/>
                <w:szCs w:val="21"/>
                <w:lang w:val="en-US" w:eastAsia="zh-CN"/>
              </w:rPr>
              <w:t>吉利文化路6号</w:t>
            </w:r>
          </w:p>
        </w:tc>
        <w:tc>
          <w:tcPr>
            <w:tcW w:w="450" w:type="dxa"/>
            <w:vAlign w:val="center"/>
          </w:tcPr>
          <w:p>
            <w:pPr>
              <w:spacing w:before="40" w:after="40"/>
              <w:rPr>
                <w:rFonts w:hint="default" w:eastAsia="黑体"/>
                <w:szCs w:val="21"/>
                <w:lang w:val="en-US" w:eastAsia="zh-CN"/>
              </w:rPr>
            </w:pPr>
            <w:r>
              <w:rPr>
                <w:rFonts w:hint="eastAsia" w:eastAsia="黑体"/>
                <w:szCs w:val="21"/>
                <w:lang w:val="en-US" w:eastAsia="zh-CN"/>
              </w:rPr>
              <w:t>16</w:t>
            </w:r>
          </w:p>
        </w:tc>
        <w:tc>
          <w:tcPr>
            <w:tcW w:w="4562" w:type="dxa"/>
            <w:vAlign w:val="center"/>
          </w:tcPr>
          <w:p>
            <w:pPr>
              <w:pStyle w:val="19"/>
              <w:rPr>
                <w:rFonts w:eastAsia="黑体" w:cs="Arial"/>
                <w:sz w:val="21"/>
                <w:szCs w:val="21"/>
                <w:lang w:val="en-US" w:eastAsia="ja-JP"/>
              </w:rPr>
            </w:pPr>
            <w:r>
              <w:rPr>
                <w:rFonts w:hint="eastAsia" w:eastAsia="宋体"/>
                <w:color w:val="000000"/>
                <w:szCs w:val="21"/>
                <w:u w:val="single"/>
              </w:rPr>
              <w:t>电器设备、仪器仪表、机械设备及配件、电线电缆、水暖阀门、金属材料（不含贵金属）、五金工具、土杂产品、轴承、建筑材料、计算机及配件、办公用品、针纺织品、化工产品（不含易燃易爆易制毒危险化学品）、装饰材料、通讯设备、包装材料、日用百货、工艺礼品（不含文物）的销售；</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28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一小时车程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2022-05-1</w:t>
            </w:r>
            <w:bookmarkEnd w:id="35"/>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rPr>
        <w:drawing>
          <wp:anchor distT="0" distB="0" distL="114300" distR="114300" simplePos="0" relativeHeight="251661312" behindDoc="0" locked="0" layoutInCell="1" allowOverlap="1">
            <wp:simplePos x="0" y="0"/>
            <wp:positionH relativeFrom="column">
              <wp:posOffset>1877060</wp:posOffset>
            </wp:positionH>
            <wp:positionV relativeFrom="paragraph">
              <wp:posOffset>328930</wp:posOffset>
            </wp:positionV>
            <wp:extent cx="640715" cy="348615"/>
            <wp:effectExtent l="0" t="0" r="6985" b="6985"/>
            <wp:wrapSquare wrapText="bothSides"/>
            <wp:docPr id="2"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01075ba2fecce7a326c4f9b0d154f"/>
                    <pic:cNvPicPr>
                      <a:picLocks noChangeAspect="1"/>
                    </pic:cNvPicPr>
                  </pic:nvPicPr>
                  <pic:blipFill>
                    <a:blip r:embed="rId6"/>
                    <a:stretch>
                      <a:fillRect/>
                    </a:stretch>
                  </pic:blipFill>
                  <pic:spPr>
                    <a:xfrm>
                      <a:off x="0" y="0"/>
                      <a:ext cx="640715" cy="34861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2022.5.11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bookmarkStart w:id="36" w:name="_GoBack"/>
      <w:bookmarkEnd w:id="36"/>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1991A06"/>
    <w:rsid w:val="59DA5C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34</TotalTime>
  <ScaleCrop>false</ScaleCrop>
  <LinksUpToDate>false</LinksUpToDate>
  <CharactersWithSpaces>9461</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2022-05-11T05:30:33Z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2052-11.1.0.11411</vt:lpwstr>
  </property>
</Properties>
</file>