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0300-2020-QE-2022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亮风台(云南)人工智能有限公司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亮风台(云南)人工智能有限公司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云南省昆明市高新区昆百大国际派A座33楼</w:t>
            </w:r>
            <w:bookmarkEnd w:id="6"/>
          </w:p>
        </w:tc>
        <w:tc>
          <w:tcPr>
            <w:tcW w:w="1242" w:type="dxa"/>
            <w:vMerge w:val="restart"/>
            <w:vAlign w:val="center"/>
          </w:tcPr>
          <w:p>
            <w:r>
              <w:rPr>
                <w:rFonts w:hint="eastAsia"/>
              </w:rPr>
              <w:t>邮编</w:t>
            </w:r>
          </w:p>
        </w:tc>
        <w:tc>
          <w:tcPr>
            <w:tcW w:w="1771" w:type="dxa"/>
          </w:tcPr>
          <w:p>
            <w:bookmarkStart w:id="7" w:name="注册邮编"/>
            <w:r>
              <w:t>650101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云南省昆明市高新区海源北路昆百大国际派A座33楼</w:t>
            </w:r>
            <w:bookmarkEnd w:id="8"/>
          </w:p>
        </w:tc>
        <w:tc>
          <w:tcPr>
            <w:tcW w:w="1242" w:type="dxa"/>
            <w:vMerge w:val="continue"/>
            <w:vAlign w:val="center"/>
          </w:tcPr>
          <w:p/>
        </w:tc>
        <w:tc>
          <w:tcPr>
            <w:tcW w:w="1771" w:type="dxa"/>
          </w:tcPr>
          <w:p>
            <w:bookmarkStart w:id="9" w:name="办公邮编"/>
            <w:r>
              <w:t>650101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陈宸</w:t>
            </w:r>
            <w:bookmarkEnd w:id="10"/>
          </w:p>
        </w:tc>
        <w:tc>
          <w:tcPr>
            <w:tcW w:w="1313" w:type="dxa"/>
            <w:vAlign w:val="center"/>
          </w:tcPr>
          <w:p>
            <w:r>
              <w:rPr>
                <w:rFonts w:hint="eastAsia"/>
              </w:rPr>
              <w:t>电话.</w:t>
            </w:r>
          </w:p>
        </w:tc>
        <w:tc>
          <w:tcPr>
            <w:tcW w:w="2180" w:type="dxa"/>
            <w:vAlign w:val="center"/>
          </w:tcPr>
          <w:p>
            <w:bookmarkStart w:id="11" w:name="联系人电话"/>
            <w:r>
              <w:t>0871- 63383335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廖春元</w:t>
            </w:r>
            <w:bookmarkEnd w:id="13"/>
          </w:p>
        </w:tc>
        <w:tc>
          <w:tcPr>
            <w:tcW w:w="1313" w:type="dxa"/>
            <w:vAlign w:val="center"/>
          </w:tcPr>
          <w:p>
            <w:r>
              <w:rPr>
                <w:rFonts w:hint="eastAsia"/>
              </w:rPr>
              <w:t>管理者代表</w:t>
            </w:r>
          </w:p>
        </w:tc>
        <w:tc>
          <w:tcPr>
            <w:tcW w:w="2180" w:type="dxa"/>
          </w:tcPr>
          <w:p>
            <w:bookmarkStart w:id="14" w:name="管理者代表"/>
            <w:r>
              <w:t>李国庆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val="en-US" w:eastAsia="zh-CN"/>
              </w:rPr>
              <w:t>软件研发</w:t>
            </w:r>
            <w:r>
              <w:rPr>
                <w:rFonts w:hint="eastAsia" w:ascii="宋体" w:hAnsi="宋体"/>
                <w:color w:val="auto"/>
                <w:szCs w:val="21"/>
                <w:highlight w:val="none"/>
              </w:rPr>
              <w:t>流程：</w:t>
            </w:r>
          </w:p>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研发——调试——测试——部署。</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2022年05月11日 上午至2022年05月12日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云南省昆明市高新区海源北路昆百大国际派A座33楼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Q：人工智能技术的开发</w:t>
            </w:r>
          </w:p>
          <w:p>
            <w:r>
              <w:t>E：人工智能技术的开发及相关环境管理活动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Q：33.02.01</w:t>
            </w:r>
          </w:p>
          <w:p>
            <w:r>
              <w:t>E：33.02.01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2021年1月1日  </w:t>
            </w:r>
          </w:p>
        </w:tc>
        <w:tc>
          <w:tcPr>
            <w:tcW w:w="1883" w:type="dxa"/>
            <w:vAlign w:val="center"/>
          </w:tcPr>
          <w:p>
            <w:pPr>
              <w:rPr>
                <w:rFonts w:hint="eastAsia"/>
              </w:rPr>
            </w:pPr>
            <w:r>
              <w:rPr>
                <w:rFonts w:hint="eastAsia"/>
              </w:rPr>
              <w:t>管理体系运行已超过3个月</w:t>
            </w:r>
          </w:p>
        </w:tc>
        <w:tc>
          <w:tcPr>
            <w:tcW w:w="3215" w:type="dxa"/>
            <w:vAlign w:val="center"/>
          </w:tcPr>
          <w:p>
            <w:pPr>
              <w:rPr>
                <w:rFonts w:hint="eastAsia"/>
              </w:rPr>
            </w:pPr>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lang w:val="en-US" w:eastAsia="zh-CN"/>
              </w:rPr>
            </w:pPr>
            <w:r>
              <w:rPr>
                <w:rFonts w:hint="eastAsia"/>
                <w:lang w:val="en-US" w:eastAsia="zh-CN"/>
              </w:rPr>
              <w:t>2021年05月08日-09日</w:t>
            </w:r>
          </w:p>
        </w:tc>
        <w:tc>
          <w:tcPr>
            <w:tcW w:w="1883" w:type="dxa"/>
            <w:vAlign w:val="center"/>
          </w:tcPr>
          <w:p>
            <w:pPr>
              <w:rPr>
                <w:rFonts w:hint="eastAsia"/>
              </w:rPr>
            </w:pPr>
            <w:r>
              <w:rPr>
                <w:rFonts w:hint="eastAsia"/>
              </w:rPr>
              <w:t>认证证书有效期</w:t>
            </w:r>
          </w:p>
          <w:p>
            <w:pPr>
              <w:rPr>
                <w:rFonts w:hint="eastAsia"/>
              </w:rPr>
            </w:pPr>
            <w:r>
              <w:rPr>
                <w:rFonts w:hint="eastAsia"/>
              </w:rPr>
              <w:t>（初审除外）</w:t>
            </w:r>
          </w:p>
        </w:tc>
        <w:tc>
          <w:tcPr>
            <w:tcW w:w="3215" w:type="dxa"/>
            <w:vAlign w:val="center"/>
          </w:tcPr>
          <w:p>
            <w:pPr>
              <w:rPr>
                <w:rFonts w:hint="default"/>
                <w:lang w:val="en-US" w:eastAsia="zh-CN"/>
              </w:rPr>
            </w:pPr>
            <w:r>
              <w:rPr>
                <w:rFonts w:hint="eastAsia"/>
              </w:rPr>
              <w:t>有效至</w:t>
            </w:r>
            <w:r>
              <w:rPr>
                <w:rFonts w:hint="eastAsia"/>
                <w:lang w:val="en-US" w:eastAsia="zh-CN"/>
              </w:rPr>
              <w:t>2023年07月19日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03"/>
        <w:gridCol w:w="13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03" w:type="dxa"/>
            <w:shd w:val="clear" w:color="auto" w:fill="F3F3F3"/>
            <w:tcMar>
              <w:left w:w="57" w:type="dxa"/>
              <w:right w:w="57" w:type="dxa"/>
            </w:tcMar>
          </w:tcPr>
          <w:p>
            <w:r>
              <w:rPr>
                <w:rFonts w:hint="eastAsia"/>
              </w:rPr>
              <w:t>审核范围（产品和过程）</w:t>
            </w:r>
          </w:p>
          <w:p/>
          <w:p/>
        </w:tc>
        <w:tc>
          <w:tcPr>
            <w:tcW w:w="13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亮风台(云南)人工智能有限公司</w:t>
            </w:r>
            <w:r>
              <w:rPr>
                <w:rFonts w:hint="eastAsia"/>
                <w:sz w:val="21"/>
                <w:szCs w:val="21"/>
                <w:lang w:val="en-US" w:eastAsia="zh-CN"/>
              </w:rPr>
              <w:t>/</w:t>
            </w:r>
            <w:r>
              <w:rPr>
                <w:rFonts w:asciiTheme="minorEastAsia" w:hAnsiTheme="minorEastAsia" w:eastAsiaTheme="minorEastAsia"/>
                <w:sz w:val="20"/>
              </w:rPr>
              <w:t>云南省昆明市高新区昆百大国际派A座33楼</w:t>
            </w:r>
          </w:p>
        </w:tc>
        <w:tc>
          <w:tcPr>
            <w:tcW w:w="2267" w:type="dxa"/>
          </w:tcPr>
          <w:p>
            <w:pPr>
              <w:rPr>
                <w:lang w:val="de-DE" w:eastAsia="ja-JP"/>
              </w:rPr>
            </w:pPr>
            <w:r>
              <w:rPr>
                <w:rFonts w:asciiTheme="minorEastAsia" w:hAnsiTheme="minorEastAsia" w:eastAsiaTheme="minorEastAsia"/>
                <w:sz w:val="20"/>
              </w:rPr>
              <w:t>云南省昆明市高新区海源北路昆百大国际派A座33楼</w:t>
            </w:r>
          </w:p>
        </w:tc>
        <w:tc>
          <w:tcPr>
            <w:tcW w:w="571" w:type="dxa"/>
            <w:vAlign w:val="center"/>
          </w:tcPr>
          <w:p>
            <w:pPr>
              <w:rPr>
                <w:lang w:eastAsia="ja-JP"/>
              </w:rPr>
            </w:pPr>
          </w:p>
        </w:tc>
        <w:tc>
          <w:tcPr>
            <w:tcW w:w="2103" w:type="dxa"/>
            <w:vAlign w:val="center"/>
          </w:tcPr>
          <w:p>
            <w:pPr>
              <w:rPr>
                <w:lang w:eastAsia="ja-JP"/>
              </w:rPr>
            </w:pPr>
            <w:r>
              <w:rPr>
                <w:sz w:val="20"/>
              </w:rPr>
              <w:t>人工智能技术的开发</w:t>
            </w:r>
          </w:p>
        </w:tc>
        <w:tc>
          <w:tcPr>
            <w:tcW w:w="1369" w:type="dxa"/>
            <w:vAlign w:val="center"/>
          </w:tcPr>
          <w:p>
            <w:pPr>
              <w:rPr>
                <w:lang w:eastAsia="ja-JP"/>
              </w:rPr>
            </w:pPr>
            <w:r>
              <w:rPr>
                <w:rFonts w:hint="eastAsia" w:ascii="宋体" w:hAnsi="宋体"/>
                <w:b/>
                <w:sz w:val="21"/>
                <w:szCs w:val="21"/>
              </w:rPr>
              <w:t>GB/T19001-2016/GB/T24001-2016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03" w:type="dxa"/>
            <w:vAlign w:val="center"/>
          </w:tcPr>
          <w:p>
            <w:pPr>
              <w:rPr>
                <w:lang w:eastAsia="ja-JP"/>
              </w:rPr>
            </w:pPr>
          </w:p>
        </w:tc>
        <w:tc>
          <w:tcPr>
            <w:tcW w:w="13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03" w:type="dxa"/>
            <w:vAlign w:val="center"/>
          </w:tcPr>
          <w:p>
            <w:pPr>
              <w:rPr>
                <w:lang w:eastAsia="ja-JP"/>
              </w:rPr>
            </w:pPr>
          </w:p>
        </w:tc>
        <w:tc>
          <w:tcPr>
            <w:tcW w:w="13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03" w:type="dxa"/>
            <w:vAlign w:val="center"/>
          </w:tcPr>
          <w:p>
            <w:pPr>
              <w:rPr>
                <w:lang w:eastAsia="ja-JP"/>
              </w:rPr>
            </w:pPr>
          </w:p>
        </w:tc>
        <w:tc>
          <w:tcPr>
            <w:tcW w:w="13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03" w:type="dxa"/>
            <w:vAlign w:val="center"/>
          </w:tcPr>
          <w:p>
            <w:pPr>
              <w:rPr>
                <w:lang w:eastAsia="ja-JP"/>
              </w:rPr>
            </w:pPr>
          </w:p>
        </w:tc>
        <w:tc>
          <w:tcPr>
            <w:tcW w:w="13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Q:33.02.01</w:t>
            </w:r>
          </w:p>
          <w:p>
            <w: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2022年05月12日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w:t>
            </w:r>
            <w:r>
              <w:rPr>
                <w:rFonts w:hint="eastAsia" w:ascii="Times New Roman" w:hAnsi="Times New Roman" w:eastAsia="宋体" w:cs="Times New Roman"/>
              </w:rPr>
              <w:t>针：</w:t>
            </w:r>
          </w:p>
          <w:p>
            <w:pPr>
              <w:shd w:val="clear" w:color="auto" w:fill="C7DAF1" w:themeFill="text2" w:themeFillTint="32"/>
              <w:ind w:firstLine="420" w:firstLineChars="200"/>
              <w:rPr>
                <w:rFonts w:hint="eastAsia" w:ascii="Times New Roman" w:hAnsi="Times New Roman" w:eastAsia="宋体" w:cs="Times New Roman"/>
                <w:lang w:val="en-GB"/>
              </w:rPr>
            </w:pPr>
            <w:r>
              <w:rPr>
                <w:rFonts w:hint="eastAsia" w:ascii="Times New Roman" w:hAnsi="Times New Roman" w:eastAsia="宋体" w:cs="Times New Roman"/>
                <w:lang w:val="en-GB"/>
              </w:rPr>
              <w:t>以稳定品质、完善服务、持续改进、满足顾客需求；</w:t>
            </w:r>
          </w:p>
          <w:p>
            <w:pPr>
              <w:shd w:val="clear" w:color="auto" w:fill="C7DAF1" w:themeFill="text2" w:themeFillTint="32"/>
              <w:ind w:firstLine="420" w:firstLineChars="200"/>
              <w:rPr>
                <w:rFonts w:hint="eastAsia" w:ascii="Times New Roman" w:hAnsi="Times New Roman" w:eastAsia="宋体" w:cs="Times New Roman"/>
                <w:lang w:val="en-GB"/>
              </w:rPr>
            </w:pPr>
            <w:r>
              <w:rPr>
                <w:rFonts w:hint="eastAsia" w:ascii="Times New Roman" w:hAnsi="Times New Roman" w:eastAsia="宋体" w:cs="Times New Roman"/>
                <w:lang w:val="en-GB"/>
              </w:rPr>
              <w:t>以安全生产、保护环境、守法诚信、体现社会责任。</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w:t>
            </w:r>
            <w:r>
              <w:rPr>
                <w:rFonts w:hint="eastAsia"/>
                <w:lang w:val="en-GB"/>
              </w:rPr>
              <w:t>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公共职能中心</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eastAsia="宋体"/>
                      <w:highlight w:val="yellow"/>
                      <w:lang w:val="en-US" w:eastAsia="zh-CN"/>
                    </w:rPr>
                  </w:pPr>
                  <w:r>
                    <w:rPr>
                      <w:rFonts w:ascii="宋体" w:hAnsi="宋体"/>
                      <w:bCs/>
                      <w:szCs w:val="21"/>
                    </w:rPr>
                    <w:t>客户满意度≥90分</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调查评分满意客户数/接受调查客户数</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市场营销部</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r>
                    <w:rPr>
                      <w:rFonts w:ascii="宋体" w:hAnsi="宋体"/>
                      <w:bCs/>
                      <w:szCs w:val="21"/>
                    </w:rPr>
                    <w:t>产品研发合格率100%</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产品研发合格数/产品研发总数量</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产品及研发中心</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p>
              </w:tc>
              <w:tc>
                <w:tcPr>
                  <w:tcW w:w="3136" w:type="dxa"/>
                  <w:shd w:val="clear" w:color="auto" w:fill="auto"/>
                  <w:vAlign w:val="center"/>
                </w:tcPr>
                <w:p>
                  <w:pPr>
                    <w:widowControl/>
                    <w:spacing w:before="40"/>
                    <w:jc w:val="left"/>
                    <w:rPr>
                      <w:rFonts w:hint="default" w:eastAsia="宋体"/>
                      <w:highlight w:val="yellow"/>
                      <w:lang w:val="en-US" w:eastAsia="zh-CN"/>
                    </w:rPr>
                  </w:pPr>
                </w:p>
              </w:tc>
              <w:tc>
                <w:tcPr>
                  <w:tcW w:w="1350" w:type="dxa"/>
                  <w:shd w:val="clear" w:color="auto" w:fill="auto"/>
                  <w:vAlign w:val="center"/>
                </w:tcPr>
                <w:p>
                  <w:pPr>
                    <w:widowControl/>
                    <w:spacing w:before="40"/>
                    <w:jc w:val="left"/>
                    <w:rPr>
                      <w:rFonts w:hint="default" w:eastAsia="宋体"/>
                      <w:highlight w:val="yellow"/>
                      <w:lang w:val="en-US" w:eastAsia="zh-CN"/>
                    </w:rPr>
                  </w:pP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建筑面积</w:t>
            </w:r>
            <w:r>
              <w:rPr>
                <w:rFonts w:hint="eastAsia" w:ascii="宋体" w:hAnsi="宋体" w:cs="宋体"/>
                <w:color w:val="auto"/>
                <w:szCs w:val="21"/>
                <w:highlight w:val="none"/>
                <w:lang w:val="en-US" w:eastAsia="zh-CN"/>
              </w:rPr>
              <w:t>900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w:t>
            </w:r>
            <w:r>
              <w:rPr>
                <w:rFonts w:hint="eastAsia" w:ascii="宋体" w:hAnsi="宋体"/>
                <w:color w:val="auto"/>
                <w:szCs w:val="21"/>
              </w:rPr>
              <w:t>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Times New Roman" w:hAnsi="Times New Roman" w:eastAsia="宋体" w:cs="Times New Roman"/>
              </w:rPr>
              <w:t>等</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A3"/>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 xml:space="preserve">无   </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A3"/>
            </w:r>
            <w:r>
              <w:rPr>
                <w:rFonts w:hint="eastAsia"/>
              </w:rPr>
              <w:t xml:space="preserve">检测计划   </w:t>
            </w:r>
            <w:r>
              <w:rPr>
                <w:rFonts w:hint="eastAsia" w:ascii="Wingdings" w:hAnsi="Wingdings"/>
                <w:lang w:eastAsia="zh-CN"/>
              </w:rPr>
              <w:sym w:font="Wingdings 2" w:char="00A3"/>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ascii="Times New Roman" w:hAnsi="Times New Roman" w:eastAsia="宋体" w:cs="Times New Roman"/>
                      <w:sz w:val="20"/>
                    </w:rPr>
                    <w:t>软件开发</w:t>
                  </w:r>
                </w:p>
              </w:tc>
              <w:tc>
                <w:tcPr>
                  <w:tcW w:w="2528"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hint="eastAsia" w:ascii="Times New Roman" w:hAnsi="Times New Roman" w:eastAsia="宋体" w:cs="Times New Roman"/>
                      <w:sz w:val="20"/>
                    </w:rPr>
                    <w:t>研发过程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rPr>
              <w:t>研发过程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Times New Roman" w:hAnsi="Times New Roman" w:eastAsia="宋体" w:cs="Times New Roman"/>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sz w:val="24"/>
              </w:rPr>
              <w:t>202</w:t>
            </w:r>
            <w:r>
              <w:rPr>
                <w:rFonts w:hint="eastAsia"/>
                <w:sz w:val="24"/>
                <w:lang w:val="en-US" w:eastAsia="zh-CN"/>
              </w:rPr>
              <w:t>2</w:t>
            </w:r>
            <w:r>
              <w:rPr>
                <w:rFonts w:hint="eastAsia"/>
                <w:sz w:val="24"/>
              </w:rPr>
              <w:t>年3月</w:t>
            </w:r>
            <w:r>
              <w:rPr>
                <w:sz w:val="24"/>
              </w:rPr>
              <w:t>1</w:t>
            </w:r>
            <w:r>
              <w:rPr>
                <w:rFonts w:hint="eastAsia"/>
                <w:sz w:val="24"/>
                <w:lang w:val="en-US" w:eastAsia="zh-CN"/>
              </w:rPr>
              <w:t>0</w:t>
            </w:r>
            <w:r>
              <w:rPr>
                <w:rFonts w:hint="eastAsia"/>
                <w:sz w:val="24"/>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3"/>
      </w:pPr>
    </w:p>
    <w:p>
      <w:pPr>
        <w:pStyle w:val="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A3"/>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rPr>
            </w:pPr>
            <w:r>
              <w:rPr>
                <w:rFonts w:hint="eastAsia"/>
              </w:rPr>
              <w:t>最高管理者制定了文件化的管理体系方针：</w:t>
            </w:r>
          </w:p>
          <w:p>
            <w:pPr>
              <w:ind w:left="995" w:leftChars="399" w:hanging="157" w:hangingChars="75"/>
              <w:jc w:val="left"/>
              <w:rPr>
                <w:rFonts w:hint="eastAsia" w:ascii="Times New Roman" w:hAnsi="Times New Roman" w:eastAsia="宋体" w:cs="Times New Roman"/>
              </w:rPr>
            </w:pPr>
            <w:r>
              <w:rPr>
                <w:rFonts w:hint="eastAsia" w:ascii="Times New Roman" w:hAnsi="Times New Roman" w:eastAsia="宋体" w:cs="Times New Roman"/>
              </w:rPr>
              <w:t>以稳定品质、完善服务、持续改进、满足顾客需求；</w:t>
            </w:r>
          </w:p>
          <w:p>
            <w:pPr>
              <w:ind w:left="995" w:leftChars="399" w:hanging="157" w:hangingChars="75"/>
              <w:jc w:val="left"/>
            </w:pPr>
            <w:r>
              <w:rPr>
                <w:rFonts w:hint="eastAsia" w:ascii="Times New Roman" w:hAnsi="Times New Roman" w:eastAsia="宋体" w:cs="Times New Roman"/>
              </w:rPr>
              <w:t>以安全生产、保护环境、守法诚信、体现社会责任。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公共职能中心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rPr>
              <w:t>废水排放</w:t>
            </w:r>
            <w:r>
              <w:rPr>
                <w:rFonts w:hint="eastAsia"/>
              </w:rPr>
              <w:sym w:font="Wingdings 2" w:char="00A3"/>
            </w:r>
            <w:r>
              <w:rPr>
                <w:rFonts w:hint="eastAsia"/>
              </w:rPr>
              <w:t>废气排放</w:t>
            </w:r>
            <w:r>
              <w:rPr>
                <w:rFonts w:hint="eastAsia"/>
              </w:rPr>
              <w:sym w:font="Wingdings 2" w:char="00A3"/>
            </w:r>
            <w:r>
              <w:rPr>
                <w:rFonts w:hint="eastAsia"/>
              </w:rPr>
              <w:t>粉尘排放</w:t>
            </w:r>
            <w:r>
              <w:rPr>
                <w:rFonts w:hint="eastAsia"/>
              </w:rPr>
              <w:sym w:font="Wingdings 2" w:char="00A3"/>
            </w:r>
            <w:r>
              <w:rPr>
                <w:rFonts w:hint="eastAsia"/>
              </w:rPr>
              <w:t>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A3"/>
            </w: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A3"/>
            </w:r>
            <w:r>
              <w:rPr>
                <w:rFonts w:hint="eastAsia"/>
              </w:rPr>
              <w:t>危废合法处置</w:t>
            </w:r>
            <w:r>
              <w:rPr>
                <w:rFonts w:hint="eastAsia"/>
              </w:rPr>
              <w:sym w:font="Wingdings 2" w:char="00A3"/>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color w:val="000000"/>
                      <w:kern w:val="2"/>
                      <w:sz w:val="21"/>
                      <w:szCs w:val="24"/>
                      <w:lang w:val="en-US" w:eastAsia="zh-CN" w:bidi="ar-SA"/>
                    </w:rPr>
                  </w:pPr>
                  <w:r>
                    <w:rPr>
                      <w:rFonts w:hint="eastAsia" w:ascii="宋体" w:hAnsi="宋体"/>
                      <w:bCs/>
                      <w:szCs w:val="21"/>
                    </w:rPr>
                    <w:t>对固体废弃物100%处理；</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公共职能中心</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宋体" w:hAnsi="宋体" w:eastAsia="宋体" w:cs="Times New Roman"/>
                      <w:color w:val="000000"/>
                      <w:kern w:val="2"/>
                      <w:sz w:val="21"/>
                      <w:szCs w:val="24"/>
                      <w:lang w:val="en-US" w:eastAsia="zh-CN" w:bidi="ar-SA"/>
                    </w:rPr>
                  </w:pPr>
                  <w:r>
                    <w:rPr>
                      <w:rFonts w:hint="eastAsia" w:ascii="宋体" w:hAnsi="宋体"/>
                      <w:color w:val="000000"/>
                      <w:lang w:eastAsia="zh-CN"/>
                    </w:rPr>
                    <w:t>火灾事故为零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公共职能中心</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组织应确定、提</w:t>
            </w:r>
            <w:r>
              <w:rPr>
                <w:rFonts w:hint="eastAsia" w:ascii="Times New Roman" w:hAnsi="Times New Roman" w:eastAsia="宋体" w:cs="Times New Roman"/>
              </w:rPr>
              <w:t>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900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w:t>
            </w:r>
            <w:r>
              <w:rPr>
                <w:rFonts w:hint="eastAsia" w:ascii="宋体" w:hAnsi="宋体"/>
                <w:color w:val="auto"/>
                <w:szCs w:val="21"/>
              </w:rPr>
              <w:t>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Times New Roman" w:hAnsi="Times New Roman" w:eastAsia="宋体" w:cs="Times New Roman"/>
              </w:rPr>
              <w:t>等</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活性炭光氧废气处理装置</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eastAsia="宋体" w:cs="Times New Roman"/>
              </w:rPr>
              <w:t>于2021年</w:t>
            </w:r>
            <w:r>
              <w:rPr>
                <w:rFonts w:hint="eastAsia" w:ascii="Times New Roman" w:hAnsi="Times New Roman" w:eastAsia="宋体" w:cs="Times New Roman"/>
                <w:lang w:val="en-US" w:eastAsia="zh-CN"/>
              </w:rPr>
              <w:t>12</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9日进行</w:t>
            </w:r>
            <w:r>
              <w:rPr>
                <w:rFonts w:hint="eastAsia"/>
              </w:rPr>
              <w:t>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ascii="Times New Roman" w:hAnsi="Times New Roman" w:eastAsia="宋体" w:cs="Times New Roman"/>
              </w:rPr>
              <w:t>：</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eastAsia" w:ascii="Times New Roman" w:hAnsi="Times New Roman" w:eastAsia="宋体" w:cs="Times New Roman"/>
              </w:rPr>
            </w:pPr>
            <w:r>
              <w:rPr>
                <w:rFonts w:hint="eastAsia"/>
              </w:rPr>
              <w:t>《环境监测报告》编号</w:t>
            </w:r>
            <w:r>
              <w:rPr>
                <w:rFonts w:hint="eastAsia" w:ascii="Times New Roman" w:hAnsi="Times New Roman" w:eastAsia="宋体" w:cs="Times New Roman"/>
              </w:rPr>
              <w:t>：</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sz w:val="24"/>
              </w:rPr>
              <w:t>202</w:t>
            </w:r>
            <w:r>
              <w:rPr>
                <w:rFonts w:hint="eastAsia"/>
                <w:sz w:val="24"/>
                <w:lang w:val="en-US" w:eastAsia="zh-CN"/>
              </w:rPr>
              <w:t>2</w:t>
            </w:r>
            <w:r>
              <w:rPr>
                <w:rFonts w:hint="eastAsia"/>
                <w:sz w:val="24"/>
              </w:rPr>
              <w:t>年3月</w:t>
            </w:r>
            <w:r>
              <w:rPr>
                <w:sz w:val="24"/>
              </w:rPr>
              <w:t>1</w:t>
            </w:r>
            <w:r>
              <w:rPr>
                <w:rFonts w:hint="eastAsia"/>
                <w:sz w:val="24"/>
                <w:lang w:val="en-US" w:eastAsia="zh-CN"/>
              </w:rPr>
              <w:t>0</w:t>
            </w:r>
            <w:r>
              <w:rPr>
                <w:rFonts w:hint="eastAsia"/>
                <w:sz w:val="24"/>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pPr w:leftFromText="180" w:rightFromText="180" w:vertAnchor="text" w:horzAnchor="page" w:tblpX="1074" w:tblpY="302"/>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33"/>
        <w:gridCol w:w="754"/>
        <w:gridCol w:w="755"/>
        <w:gridCol w:w="754"/>
        <w:gridCol w:w="755"/>
        <w:gridCol w:w="755"/>
        <w:gridCol w:w="754"/>
        <w:gridCol w:w="755"/>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0"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4" w:name="_GoBack"/>
            <w:bookmarkEnd w:id="34"/>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3C33BB1"/>
    <w:rsid w:val="0C6432C6"/>
    <w:rsid w:val="0D9B6C4A"/>
    <w:rsid w:val="0E6B25E0"/>
    <w:rsid w:val="19AA0461"/>
    <w:rsid w:val="1F0D0A6F"/>
    <w:rsid w:val="2A8C66A1"/>
    <w:rsid w:val="30C65728"/>
    <w:rsid w:val="32CC0FF0"/>
    <w:rsid w:val="38F44DFD"/>
    <w:rsid w:val="3BFA74DA"/>
    <w:rsid w:val="3C1B1DD8"/>
    <w:rsid w:val="4A873D23"/>
    <w:rsid w:val="4D2C0BB1"/>
    <w:rsid w:val="50795EBC"/>
    <w:rsid w:val="59CD4F09"/>
    <w:rsid w:val="5D284EF1"/>
    <w:rsid w:val="5EA24461"/>
    <w:rsid w:val="60163727"/>
    <w:rsid w:val="722021E3"/>
    <w:rsid w:val="7CE56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13191</Words>
  <Characters>13885</Characters>
  <Lines>150</Lines>
  <Paragraphs>42</Paragraphs>
  <TotalTime>2</TotalTime>
  <ScaleCrop>false</ScaleCrop>
  <LinksUpToDate>false</LinksUpToDate>
  <CharactersWithSpaces>14304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2022-05-19T04:16:00Z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