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0435-2022-EnMs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唐山中陶卫浴制造有限公司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唐山中陶卫浴制造有限公司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唐山海港开发区港民街北侧海强路西侧办公楼</w:t>
            </w:r>
            <w:bookmarkEnd w:id="6"/>
          </w:p>
        </w:tc>
        <w:tc>
          <w:tcPr>
            <w:tcW w:w="1242" w:type="dxa"/>
            <w:vMerge w:val="restart"/>
            <w:vAlign w:val="center"/>
          </w:tcPr>
          <w:p>
            <w:r>
              <w:rPr>
                <w:rFonts w:hint="eastAsia"/>
              </w:rPr>
              <w:t>邮编</w:t>
            </w:r>
          </w:p>
        </w:tc>
        <w:tc>
          <w:tcPr>
            <w:tcW w:w="1771" w:type="dxa"/>
          </w:tcPr>
          <w:p>
            <w:bookmarkStart w:id="7" w:name="注册邮编"/>
            <w:r>
              <w:t>063611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asciiTheme="minorEastAsia" w:hAnsiTheme="minorEastAsia" w:eastAsiaTheme="minorEastAsia"/>
                <w:sz w:val="20"/>
                <w:szCs w:val="22"/>
              </w:rPr>
              <w:t>中国河北省唐山海港经济开发区21#路北</w:t>
            </w:r>
          </w:p>
        </w:tc>
        <w:tc>
          <w:tcPr>
            <w:tcW w:w="1242" w:type="dxa"/>
            <w:vMerge w:val="continue"/>
            <w:vAlign w:val="center"/>
          </w:tcPr>
          <w:p/>
        </w:tc>
        <w:tc>
          <w:tcPr>
            <w:tcW w:w="1771" w:type="dxa"/>
          </w:tcPr>
          <w:p>
            <w:bookmarkStart w:id="8" w:name="办公邮编"/>
            <w:r>
              <w:t>063611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付文龙</w:t>
            </w:r>
            <w:bookmarkEnd w:id="9"/>
          </w:p>
        </w:tc>
        <w:tc>
          <w:tcPr>
            <w:tcW w:w="1313" w:type="dxa"/>
            <w:vAlign w:val="center"/>
          </w:tcPr>
          <w:p>
            <w:r>
              <w:rPr>
                <w:rFonts w:hint="eastAsia"/>
              </w:rPr>
              <w:t>电话.</w:t>
            </w:r>
          </w:p>
        </w:tc>
        <w:tc>
          <w:tcPr>
            <w:tcW w:w="2180" w:type="dxa"/>
            <w:vAlign w:val="center"/>
          </w:tcPr>
          <w:p>
            <w:bookmarkStart w:id="10" w:name="联系人电话"/>
            <w:r>
              <w:t>15612591627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夏剑石</w:t>
            </w:r>
            <w:bookmarkEnd w:id="12"/>
          </w:p>
        </w:tc>
        <w:tc>
          <w:tcPr>
            <w:tcW w:w="1313" w:type="dxa"/>
            <w:vAlign w:val="center"/>
          </w:tcPr>
          <w:p>
            <w:r>
              <w:rPr>
                <w:rFonts w:hint="eastAsia"/>
              </w:rPr>
              <w:t>管理者代表</w:t>
            </w:r>
          </w:p>
        </w:tc>
        <w:tc>
          <w:tcPr>
            <w:tcW w:w="2180" w:type="dxa"/>
          </w:tcPr>
          <w:p>
            <w:bookmarkStart w:id="13" w:name="管理者代表"/>
            <w:r>
              <w:t>付文龙</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szCs w:val="18"/>
                <w:lang w:val="en-US" w:eastAsia="zh-CN"/>
              </w:rPr>
              <w:t>下料——球磨——筛分——除铁——泥浆搅拌——成型制坯——烘干——施釉——烧成——检验——包装</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w:t>
            </w:r>
            <w:r>
              <w:rPr>
                <w:rFonts w:hint="eastAsia"/>
                <w:lang w:val="en-US" w:eastAsia="zh-CN"/>
              </w:rPr>
              <w:t>4</w:t>
            </w:r>
            <w:r>
              <w:rPr>
                <w:rFonts w:hint="eastAsia"/>
              </w:rPr>
              <w:t>日 上午至2022年05月</w:t>
            </w:r>
            <w:r>
              <w:rPr>
                <w:rFonts w:hint="eastAsia"/>
                <w:lang w:val="en-US" w:eastAsia="zh-CN"/>
              </w:rPr>
              <w:t>15</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eastAsia="宋体" w:cs="Times New Roman"/>
              </w:rPr>
            </w:pPr>
            <w:r>
              <w:rPr>
                <w:rFonts w:hint="eastAsia"/>
                <w:lang w:val="de-DE"/>
              </w:rPr>
              <w:sym w:font="Wingdings 2" w:char="0052"/>
            </w:r>
            <w:r>
              <w:rPr>
                <w:rFonts w:hint="eastAsia" w:ascii="Times New Roman" w:hAnsi="Times New Roman" w:eastAsia="宋体" w:cs="Times New Roman"/>
                <w:lang w:val="de-DE"/>
              </w:rPr>
              <w:t>R</w:t>
            </w:r>
            <w:r>
              <w:rPr>
                <w:rFonts w:hint="eastAsia" w:ascii="Times New Roman" w:hAnsi="Times New Roman" w:eastAsia="宋体" w:cs="Times New Roman"/>
              </w:rPr>
              <w:t>RB</w:t>
            </w:r>
            <w:r>
              <w:rPr>
                <w:rFonts w:hint="eastAsia" w:ascii="Times New Roman" w:hAnsi="Times New Roman" w:eastAsia="宋体" w:cs="Times New Roman"/>
                <w:lang w:eastAsia="zh-CN"/>
              </w:rPr>
              <w:t>/</w:t>
            </w:r>
            <w:r>
              <w:rPr>
                <w:rFonts w:hint="eastAsia" w:ascii="Times New Roman" w:hAnsi="Times New Roman" w:eastAsia="宋体" w:cs="Times New Roman"/>
              </w:rPr>
              <w:t>T 110-2014 能源管理体系 建筑卫生陶瓷企业认证要求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河北省石家庄市/深圳市/北京市/河北省保定市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卫生陶瓷的设计和生产所涉及的能源管理相关活动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69"/>
        <w:gridCol w:w="580"/>
        <w:gridCol w:w="1910"/>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69"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191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唐山中陶卫浴制造有限公司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唐山海港开发区港民街北侧海强路西侧办公楼</w:t>
            </w:r>
          </w:p>
        </w:tc>
        <w:tc>
          <w:tcPr>
            <w:tcW w:w="2069"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中国河北省唐山海港经济开发区21#路北</w:t>
            </w:r>
          </w:p>
        </w:tc>
        <w:tc>
          <w:tcPr>
            <w:tcW w:w="580" w:type="dxa"/>
            <w:vAlign w:val="center"/>
          </w:tcPr>
          <w:p>
            <w:pPr>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307</w:t>
            </w:r>
          </w:p>
        </w:tc>
        <w:tc>
          <w:tcPr>
            <w:tcW w:w="1910"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卫生陶瓷的设计和生产所涉及的能源管理相关活动</w:t>
            </w:r>
          </w:p>
        </w:tc>
        <w:tc>
          <w:tcPr>
            <w:tcW w:w="1751"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GB/T23331-2020</w:t>
            </w:r>
          </w:p>
          <w:p>
            <w:pPr>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RB/T110-2014</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069" w:type="dxa"/>
            <w:vAlign w:val="center"/>
          </w:tcPr>
          <w:p>
            <w:pPr>
              <w:rPr>
                <w:lang w:eastAsia="ja-JP"/>
              </w:rPr>
            </w:pPr>
          </w:p>
        </w:tc>
        <w:tc>
          <w:tcPr>
            <w:tcW w:w="580" w:type="dxa"/>
            <w:vAlign w:val="center"/>
          </w:tcPr>
          <w:p>
            <w:pPr>
              <w:rPr>
                <w:lang w:eastAsia="ja-JP"/>
              </w:rPr>
            </w:pPr>
          </w:p>
        </w:tc>
        <w:tc>
          <w:tcPr>
            <w:tcW w:w="191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069" w:type="dxa"/>
            <w:vAlign w:val="center"/>
          </w:tcPr>
          <w:p>
            <w:pPr>
              <w:rPr>
                <w:lang w:eastAsia="ja-JP"/>
              </w:rPr>
            </w:pPr>
          </w:p>
        </w:tc>
        <w:tc>
          <w:tcPr>
            <w:tcW w:w="580" w:type="dxa"/>
            <w:vAlign w:val="center"/>
          </w:tcPr>
          <w:p>
            <w:pPr>
              <w:rPr>
                <w:lang w:eastAsia="ja-JP"/>
              </w:rPr>
            </w:pPr>
          </w:p>
        </w:tc>
        <w:tc>
          <w:tcPr>
            <w:tcW w:w="191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069" w:type="dxa"/>
            <w:vAlign w:val="center"/>
          </w:tcPr>
          <w:p>
            <w:pPr>
              <w:rPr>
                <w:lang w:eastAsia="ja-JP"/>
              </w:rPr>
            </w:pPr>
          </w:p>
        </w:tc>
        <w:tc>
          <w:tcPr>
            <w:tcW w:w="580" w:type="dxa"/>
            <w:vAlign w:val="center"/>
          </w:tcPr>
          <w:p>
            <w:pPr>
              <w:rPr>
                <w:lang w:eastAsia="ja-JP"/>
              </w:rPr>
            </w:pPr>
          </w:p>
        </w:tc>
        <w:tc>
          <w:tcPr>
            <w:tcW w:w="191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069" w:type="dxa"/>
            <w:vAlign w:val="center"/>
          </w:tcPr>
          <w:p>
            <w:pPr>
              <w:rPr>
                <w:lang w:eastAsia="ja-JP"/>
              </w:rPr>
            </w:pPr>
          </w:p>
        </w:tc>
        <w:tc>
          <w:tcPr>
            <w:tcW w:w="580" w:type="dxa"/>
            <w:vAlign w:val="center"/>
          </w:tcPr>
          <w:p>
            <w:pPr>
              <w:rPr>
                <w:lang w:eastAsia="ja-JP"/>
              </w:rPr>
            </w:pPr>
          </w:p>
        </w:tc>
        <w:tc>
          <w:tcPr>
            <w:tcW w:w="191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En2021-N1EnMS-1011923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孔祥春</w:t>
            </w:r>
          </w:p>
        </w:tc>
        <w:tc>
          <w:tcPr>
            <w:tcW w:w="1089" w:type="dxa"/>
            <w:vAlign w:val="center"/>
          </w:tcPr>
          <w:p>
            <w:r>
              <w:t>组员</w:t>
            </w:r>
          </w:p>
        </w:tc>
        <w:tc>
          <w:tcPr>
            <w:tcW w:w="711" w:type="dxa"/>
            <w:vAlign w:val="center"/>
          </w:tcPr>
          <w:p>
            <w:r>
              <w:t>男</w:t>
            </w:r>
          </w:p>
        </w:tc>
        <w:tc>
          <w:tcPr>
            <w:tcW w:w="3870" w:type="dxa"/>
            <w:vAlign w:val="center"/>
          </w:tcPr>
          <w:p>
            <w:r>
              <w:t>ISC-JSZJ-412</w:t>
            </w:r>
          </w:p>
          <w:p>
            <w:r>
              <w:t>保定津森拓新型建材有限公司</w:t>
            </w:r>
          </w:p>
        </w:tc>
        <w:tc>
          <w:tcPr>
            <w:tcW w:w="2179" w:type="dxa"/>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一阶段审核经营地址变更，由“</w:t>
            </w:r>
            <w:r>
              <w:rPr>
                <w:rFonts w:asciiTheme="minorEastAsia" w:hAnsiTheme="minorEastAsia" w:eastAsiaTheme="minorEastAsia"/>
                <w:sz w:val="20"/>
              </w:rPr>
              <w:t>唐山海港开发区港民街北侧海强路西侧</w:t>
            </w:r>
            <w:r>
              <w:rPr>
                <w:rFonts w:hint="eastAsia"/>
                <w:lang w:val="en-US" w:eastAsia="zh-CN"/>
              </w:rPr>
              <w:t>”变更为“</w:t>
            </w:r>
            <w:r>
              <w:rPr>
                <w:rFonts w:hint="eastAsia" w:asciiTheme="minorEastAsia" w:hAnsiTheme="minorEastAsia" w:eastAsiaTheme="minorEastAsia"/>
                <w:sz w:val="20"/>
                <w:szCs w:val="22"/>
              </w:rPr>
              <w:t>中国河北省唐山海港经济开发区21#路北</w:t>
            </w:r>
            <w:r>
              <w:rPr>
                <w:rFonts w:hint="eastAsia"/>
                <w:lang w:val="en-US" w:eastAsia="zh-CN"/>
              </w:rPr>
              <w:t>”，见一阶段认证信息变更传递单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5715</wp:posOffset>
                  </wp:positionV>
                  <wp:extent cx="1076960" cy="384175"/>
                  <wp:effectExtent l="0" t="0" r="0" b="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1076960" cy="38417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lang w:val="en-US" w:eastAsia="zh-CN"/>
              </w:rPr>
              <w:t>增强全员节能意识；遵守法律法规；持续改进能耗</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能源设备部 </w:t>
            </w:r>
            <w:r>
              <w:rPr>
                <w:rFonts w:hint="eastAsia"/>
              </w:rPr>
              <w:sym w:font="Wingdings 2" w:char="0052"/>
            </w:r>
            <w:r>
              <w:rPr>
                <w:rFonts w:hint="eastAsia"/>
              </w:rPr>
              <w:t>能源管理团队</w:t>
            </w:r>
            <w:r>
              <w:rPr>
                <w:rFonts w:hint="eastAsia"/>
                <w:lang w:eastAsia="zh-CN"/>
              </w:rPr>
              <w:t>——</w:t>
            </w:r>
            <w:r>
              <w:rPr>
                <w:rFonts w:hint="eastAsia"/>
                <w:lang w:val="en-US" w:eastAsia="zh-CN"/>
              </w:rPr>
              <w:t>制造中心</w:t>
            </w:r>
          </w:p>
          <w:p>
            <w:pPr>
              <w:shd w:val="clear" w:color="auto" w:fill="EBF1DE" w:themeFill="accent3" w:themeFillTint="32"/>
              <w:rPr>
                <w:rFonts w:hint="default" w:eastAsia="宋体"/>
                <w:lang w:val="en-US" w:eastAsia="zh-CN"/>
              </w:rPr>
            </w:pPr>
            <w:r>
              <w:rPr>
                <w:rFonts w:hint="eastAsia"/>
              </w:rPr>
              <w:t>能源管理团队负责人是——</w:t>
            </w:r>
            <w:r>
              <w:rPr>
                <w:rFonts w:hint="eastAsia"/>
                <w:lang w:val="en-US" w:eastAsia="zh-CN"/>
              </w:rPr>
              <w:t>陈刚；</w:t>
            </w:r>
            <w:r>
              <w:rPr>
                <w:rFonts w:hint="eastAsia"/>
              </w:rPr>
              <w:t>管理者代表</w:t>
            </w:r>
            <w:r>
              <w:rPr>
                <w:rFonts w:hint="eastAsia"/>
                <w:lang w:eastAsia="zh-CN"/>
              </w:rPr>
              <w:t>——</w:t>
            </w:r>
            <w:r>
              <w:rPr>
                <w:rFonts w:hint="eastAsia"/>
                <w:lang w:val="en-US" w:eastAsia="zh-CN"/>
              </w:rPr>
              <w:t>徐虹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法律法规的变化，如：落后设备的淘汰不及时</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及时更新掌握法律部法规的变化，进行合规性评价，及时更新淘汰落后设备，制定淘汰计划</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需要跟踪企业的实施情况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能源供应的中断如：CNG和LNG采用汽车运输供应，因疫情受影响；</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color w:val="0000FF"/>
                      <w:kern w:val="2"/>
                      <w:sz w:val="21"/>
                      <w:szCs w:val="24"/>
                      <w:highlight w:val="cyan"/>
                      <w:lang w:val="en-US" w:eastAsia="zh-CN" w:bidi="ar-SA"/>
                    </w:rPr>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color w:val="0000FF"/>
                      <w:kern w:val="2"/>
                      <w:sz w:val="21"/>
                      <w:szCs w:val="24"/>
                      <w:highlight w:val="none"/>
                      <w:lang w:val="en-US" w:eastAsia="zh-CN" w:bidi="ar-SA"/>
                    </w:rPr>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t>□其他</w:t>
            </w:r>
            <w:r>
              <w:rPr>
                <w:rFonts w:hint="eastAsia"/>
                <w:lang w:val="en-US" w:eastAsia="zh-CN"/>
              </w:rPr>
              <w:t xml:space="preserve"> 煤气，柴油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w:t>
            </w:r>
            <w:r>
              <w:rPr>
                <w:rFonts w:hint="eastAsia"/>
              </w:rPr>
              <w:sym w:font="Wingdings 2" w:char="0052"/>
            </w:r>
            <w:r>
              <w:rPr>
                <w:rFonts w:hint="eastAsia"/>
              </w:rPr>
              <w:t>单位</w:t>
            </w:r>
            <w:r>
              <w:rPr>
                <w:rFonts w:hint="eastAsia"/>
                <w:lang w:val="en-US" w:eastAsia="zh-CN"/>
              </w:rPr>
              <w:t>产值综合能还</w:t>
            </w:r>
            <w:r>
              <w:rPr>
                <w:rFonts w:hint="eastAsia"/>
              </w:rPr>
              <w:t>□单位产品燃料气消耗□加热炉热效率□其他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sym w:font="Wingdings 2" w:char="0052"/>
            </w:r>
            <w:r>
              <w:rPr>
                <w:rFonts w:hint="eastAsia"/>
              </w:rPr>
              <w:t>节能</w:t>
            </w:r>
            <w:r>
              <w:rPr>
                <w:rFonts w:hint="eastAsia"/>
                <w:lang w:val="en-US" w:eastAsia="zh-CN"/>
              </w:rPr>
              <w:t>诊断</w:t>
            </w:r>
            <w:r>
              <w:rPr>
                <w:rFonts w:hint="eastAsia"/>
              </w:rPr>
              <w:t>报告编号/日期：</w:t>
            </w:r>
            <w:r>
              <w:rPr>
                <w:rFonts w:hint="eastAsia"/>
                <w:lang w:val="en-US" w:eastAsia="zh-CN"/>
              </w:rPr>
              <w:t>2021.11</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2022.3</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09"/>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0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综合能耗tce≤9100</w:t>
                  </w:r>
                </w:p>
              </w:tc>
              <w:tc>
                <w:tcPr>
                  <w:tcW w:w="2354" w:type="dxa"/>
                  <w:shd w:val="clear" w:color="auto" w:fill="auto"/>
                  <w:vAlign w:val="center"/>
                </w:tcPr>
                <w:p>
                  <w:pPr>
                    <w:rPr>
                      <w:rFonts w:hint="default" w:ascii="Times New Roman" w:hAnsi="Times New Roman" w:eastAsia="宋体" w:cs="Times New Roman"/>
                      <w:color w:val="auto"/>
                      <w:kern w:val="2"/>
                      <w:sz w:val="21"/>
                      <w:szCs w:val="24"/>
                      <w:lang w:val="en-GB" w:eastAsia="zh-CN" w:bidi="ar-SA"/>
                    </w:rPr>
                  </w:pPr>
                  <w:r>
                    <w:rPr>
                      <w:rFonts w:hint="eastAsia"/>
                      <w:color w:val="auto"/>
                      <w:szCs w:val="24"/>
                      <w:highlight w:val="none"/>
                      <w:lang w:val="en-US" w:eastAsia="zh-CN"/>
                    </w:rPr>
                    <w:t>淘汰老旧设备</w:t>
                  </w:r>
                </w:p>
              </w:tc>
              <w:tc>
                <w:tcPr>
                  <w:tcW w:w="1109"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能源设备部</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9077.658tce,完成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单位产品综合能耗kgce/t≤420</w:t>
                  </w:r>
                </w:p>
              </w:tc>
              <w:tc>
                <w:tcPr>
                  <w:tcW w:w="2354" w:type="dxa"/>
                  <w:shd w:val="clear" w:color="auto" w:fill="auto"/>
                  <w:vAlign w:val="center"/>
                </w:tcPr>
                <w:p>
                  <w:pPr>
                    <w:rPr>
                      <w:rFonts w:hint="default" w:ascii="宋体" w:hAnsi="宋体" w:eastAsia="宋体" w:cs="Times New Roman"/>
                      <w:color w:val="auto"/>
                      <w:kern w:val="2"/>
                      <w:sz w:val="21"/>
                      <w:szCs w:val="24"/>
                      <w:lang w:val="en-US" w:eastAsia="zh-CN" w:bidi="ar-SA"/>
                    </w:rPr>
                  </w:pPr>
                  <w:r>
                    <w:rPr>
                      <w:rFonts w:hint="eastAsia" w:ascii="宋体" w:hAnsi="宋体"/>
                      <w:color w:val="auto"/>
                      <w:szCs w:val="24"/>
                      <w:highlight w:val="none"/>
                      <w:lang w:val="en-US" w:eastAsia="zh-CN"/>
                    </w:rPr>
                    <w:t>增加产量，提高效率，提高产品合格率</w:t>
                  </w:r>
                </w:p>
              </w:tc>
              <w:tc>
                <w:tcPr>
                  <w:tcW w:w="1109"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制造中心/能源设备部</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378.38kgce/t,完成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单位产值综合能耗kgce/万元≤0.90</w:t>
                  </w:r>
                </w:p>
              </w:tc>
              <w:tc>
                <w:tcPr>
                  <w:tcW w:w="2354" w:type="dxa"/>
                  <w:shd w:val="clear" w:color="auto" w:fill="auto"/>
                  <w:vAlign w:val="center"/>
                </w:tcPr>
                <w:p>
                  <w:pPr>
                    <w:rPr>
                      <w:rFonts w:hint="default" w:ascii="宋体" w:hAnsi="宋体"/>
                      <w:color w:val="auto"/>
                      <w:lang w:val="en-US"/>
                    </w:rPr>
                  </w:pPr>
                  <w:r>
                    <w:rPr>
                      <w:rFonts w:hint="eastAsia" w:ascii="宋体" w:hAnsi="宋体"/>
                      <w:color w:val="auto"/>
                      <w:szCs w:val="24"/>
                      <w:highlight w:val="none"/>
                      <w:lang w:val="en-US" w:eastAsia="zh-CN"/>
                    </w:rPr>
                    <w:t>增加产量，提高效率，提高产品合格率</w:t>
                  </w:r>
                </w:p>
              </w:tc>
              <w:tc>
                <w:tcPr>
                  <w:tcW w:w="1109"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综合部/能源设备部</w:t>
                  </w:r>
                </w:p>
              </w:tc>
              <w:tc>
                <w:tcPr>
                  <w:tcW w:w="2797"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0.76kgce/万元,完成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109" w:type="dxa"/>
                  <w:shd w:val="clear" w:color="auto" w:fill="auto"/>
                  <w:vAlign w:val="center"/>
                </w:tcPr>
                <w:p>
                  <w:pPr>
                    <w:shd w:val="clear" w:color="auto" w:fill="EBF1DE" w:themeFill="accent3" w:themeFillTint="32"/>
                    <w:rPr>
                      <w:rFonts w:ascii="宋体" w:hAnsi="宋体"/>
                    </w:rPr>
                  </w:pPr>
                </w:p>
              </w:tc>
              <w:tc>
                <w:tcPr>
                  <w:tcW w:w="279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109" w:type="dxa"/>
                  <w:shd w:val="clear" w:color="auto" w:fill="auto"/>
                  <w:vAlign w:val="center"/>
                </w:tcPr>
                <w:p>
                  <w:pPr>
                    <w:shd w:val="clear" w:color="auto" w:fill="EBF1DE" w:themeFill="accent3" w:themeFillTint="32"/>
                    <w:rPr>
                      <w:rFonts w:ascii="宋体" w:hAnsi="宋体"/>
                    </w:rPr>
                  </w:pPr>
                </w:p>
              </w:tc>
              <w:tc>
                <w:tcPr>
                  <w:tcW w:w="279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83747.51</w:t>
            </w:r>
            <w:r>
              <w:rPr>
                <w:rFonts w:hint="eastAsia"/>
              </w:rPr>
              <w:t xml:space="preserve"> 平方米；</w:t>
            </w:r>
            <w:r>
              <w:rPr>
                <w:rFonts w:hint="eastAsia" w:ascii="Times New Roman" w:hAnsi="Times New Roman" w:eastAsia="宋体" w:cs="Times New Roman"/>
                <w:lang w:val="en-US" w:eastAsia="zh-CN"/>
              </w:rPr>
              <w:t>制造中心（含一分厂、二分厂、生管部、技术部、检包车间等）</w:t>
            </w:r>
            <w:r>
              <w:rPr>
                <w:rFonts w:hint="eastAsia"/>
              </w:rPr>
              <w:t>；库房</w:t>
            </w:r>
            <w:r>
              <w:rPr>
                <w:rFonts w:hint="eastAsia"/>
                <w:lang w:val="en-US" w:eastAsia="zh-CN"/>
              </w:rPr>
              <w:t>1</w:t>
            </w:r>
            <w:r>
              <w:rPr>
                <w:rFonts w:hint="eastAsia"/>
              </w:rPr>
              <w:t>个；</w:t>
            </w:r>
            <w:r>
              <w:rPr>
                <w:rFonts w:hint="eastAsia"/>
                <w:lang w:val="en-US" w:eastAsia="zh-CN"/>
              </w:rPr>
              <w:t>化验室2</w:t>
            </w:r>
            <w:r>
              <w:rPr>
                <w:rFonts w:hint="eastAsia"/>
              </w:rPr>
              <w:t>个</w:t>
            </w:r>
            <w:r>
              <w:rPr>
                <w:rFonts w:hint="eastAsia"/>
                <w:lang w:eastAsia="zh-CN"/>
              </w:rPr>
              <w:t>（</w:t>
            </w:r>
            <w:r>
              <w:rPr>
                <w:rFonts w:hint="eastAsia"/>
                <w:lang w:val="en-US" w:eastAsia="zh-CN"/>
              </w:rPr>
              <w:t>原料、产品</w:t>
            </w:r>
            <w:r>
              <w:rPr>
                <w:rFonts w:hint="eastAsia"/>
                <w:lang w:eastAsia="zh-CN"/>
              </w:rPr>
              <w:t>）</w:t>
            </w:r>
            <w:r>
              <w:rPr>
                <w:rFonts w:hint="eastAsia"/>
              </w:rPr>
              <w:t>；</w:t>
            </w:r>
          </w:p>
          <w:p>
            <w:pPr>
              <w:shd w:val="clear" w:color="auto" w:fill="EBF1DE" w:themeFill="accent3" w:themeFillTint="32"/>
              <w:rPr>
                <w:u w:val="single"/>
              </w:rPr>
            </w:pPr>
            <w:r>
              <w:rPr>
                <w:rFonts w:hint="eastAsia"/>
              </w:rPr>
              <w:t>主要生产设备有：</w:t>
            </w:r>
            <w:r>
              <w:rPr>
                <w:rFonts w:hint="eastAsia"/>
                <w:u w:val="single"/>
                <w:lang w:val="en-US" w:eastAsia="zh-CN"/>
              </w:rPr>
              <w:t>工业窑炉、空压机、球磨机、高压注浇线、热风炉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lang w:val="en-US" w:eastAsia="zh-CN"/>
              </w:rPr>
              <w:t>球磨机</w:t>
            </w:r>
            <w:r>
              <w:rPr>
                <w:rFonts w:hint="eastAsia"/>
                <w:color w:val="000000"/>
                <w:szCs w:val="22"/>
                <w:u w:val="single"/>
              </w:rPr>
              <w:t>、</w:t>
            </w:r>
            <w:r>
              <w:rPr>
                <w:rFonts w:hint="eastAsia"/>
                <w:color w:val="000000"/>
                <w:szCs w:val="22"/>
                <w:u w:val="single"/>
                <w:lang w:val="en-US" w:eastAsia="zh-CN"/>
              </w:rPr>
              <w:t>烧成窑炉</w:t>
            </w:r>
            <w:r>
              <w:rPr>
                <w:rFonts w:hint="eastAsia"/>
                <w:color w:val="000000"/>
                <w:szCs w:val="22"/>
                <w:u w:val="single"/>
              </w:rPr>
              <w:t>、</w:t>
            </w:r>
            <w:r>
              <w:rPr>
                <w:rFonts w:hint="eastAsia"/>
                <w:color w:val="000000"/>
                <w:szCs w:val="22"/>
                <w:u w:val="single"/>
                <w:lang w:val="en-US" w:eastAsia="zh-CN"/>
              </w:rPr>
              <w:t>热风炉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天然气流量计、煤气流量计、水表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ascii="Times New Roman" w:hAnsi="Times New Roman" w:eastAsia="宋体" w:cs="Times New Roman"/>
              </w:rPr>
              <w:t>未进行定期校准/检定</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已提出不符合要求整改</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2021年</w:t>
            </w:r>
            <w:r>
              <w:rPr>
                <w:rFonts w:hint="eastAsia" w:ascii="Times New Roman" w:hAnsi="Times New Roman" w:eastAsia="宋体" w:cs="Times New Roman"/>
                <w:b w:val="0"/>
                <w:bCs w:val="0"/>
                <w:kern w:val="2"/>
                <w:sz w:val="21"/>
                <w:szCs w:val="22"/>
                <w:u w:val="single"/>
                <w:lang w:val="en-US" w:eastAsia="zh-CN" w:bidi="ar-SA"/>
              </w:rPr>
              <w:t>新增高压</w:t>
            </w:r>
            <w:r>
              <w:rPr>
                <w:rFonts w:hint="eastAsia" w:cs="Times New Roman"/>
                <w:b w:val="0"/>
                <w:bCs w:val="0"/>
                <w:kern w:val="2"/>
                <w:sz w:val="21"/>
                <w:szCs w:val="22"/>
                <w:u w:val="single"/>
                <w:lang w:val="en-US" w:eastAsia="zh-CN" w:bidi="ar-SA"/>
              </w:rPr>
              <w:t>注浆</w:t>
            </w:r>
            <w:bookmarkStart w:id="33" w:name="_GoBack"/>
            <w:bookmarkEnd w:id="33"/>
            <w:r>
              <w:rPr>
                <w:rFonts w:hint="eastAsia" w:ascii="Times New Roman" w:hAnsi="Times New Roman" w:eastAsia="宋体" w:cs="Times New Roman"/>
                <w:b w:val="0"/>
                <w:bCs w:val="0"/>
                <w:kern w:val="2"/>
                <w:sz w:val="21"/>
                <w:szCs w:val="22"/>
                <w:u w:val="single"/>
                <w:lang w:val="en-US" w:eastAsia="zh-CN" w:bidi="ar-SA"/>
              </w:rPr>
              <w:t>坐便两条</w:t>
            </w:r>
            <w:r>
              <w:rPr>
                <w:rFonts w:hint="eastAsia" w:cs="Times New Roman"/>
                <w:b w:val="0"/>
                <w:bCs w:val="0"/>
                <w:kern w:val="2"/>
                <w:sz w:val="21"/>
                <w:szCs w:val="22"/>
                <w:u w:val="single"/>
                <w:lang w:val="en-US" w:eastAsia="zh-CN" w:bidi="ar-SA"/>
              </w:rPr>
              <w:t>生产线</w:t>
            </w:r>
            <w:r>
              <w:rPr>
                <w:rFonts w:hint="eastAsia"/>
                <w:u w:val="single"/>
              </w:rPr>
              <w:t>（</w:t>
            </w:r>
            <w:r>
              <w:rPr>
                <w:rFonts w:hint="eastAsia"/>
              </w:rPr>
              <w:t>举1例）</w:t>
            </w:r>
          </w:p>
          <w:p>
            <w:pPr>
              <w:shd w:val="clear" w:color="auto" w:fill="EBF1DE" w:themeFill="accent3" w:themeFillTint="32"/>
            </w:pPr>
            <w:r>
              <w:rPr>
                <w:rFonts w:hint="eastAsia"/>
              </w:rPr>
              <w:t>该</w:t>
            </w:r>
            <w:r>
              <w:rPr>
                <w:rFonts w:hint="eastAsia"/>
                <w:lang w:val="en-US" w:eastAsia="zh-CN"/>
              </w:rPr>
              <w:t>改造</w:t>
            </w:r>
            <w:r>
              <w:rPr>
                <w:rFonts w:hint="eastAsia"/>
              </w:rPr>
              <w:t>项目进行了节能</w:t>
            </w:r>
            <w:r>
              <w:rPr>
                <w:rFonts w:hint="eastAsia"/>
                <w:lang w:val="en-US" w:eastAsia="zh-CN"/>
              </w:rPr>
              <w:t>分析</w:t>
            </w:r>
            <w:r>
              <w:rPr>
                <w:rFonts w:hint="eastAsia"/>
              </w:rPr>
              <w:t>，</w:t>
            </w:r>
            <w:r>
              <w:rPr>
                <w:rFonts w:hint="eastAsia"/>
                <w:lang w:val="en-US" w:eastAsia="zh-CN"/>
              </w:rPr>
              <w:t>高压注浆线，不需要烘干工序，可节约能源20%以上</w:t>
            </w:r>
            <w:r>
              <w:rPr>
                <w:rFonts w:hint="eastAsia"/>
              </w:rPr>
              <w:t>。</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加强能源管理</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煤</w:t>
                  </w:r>
                  <w:r>
                    <w:rPr>
                      <w:rFonts w:hint="eastAsia"/>
                    </w:rPr>
                    <w:t>气</w:t>
                  </w:r>
                </w:p>
              </w:tc>
              <w:tc>
                <w:tcPr>
                  <w:tcW w:w="3665" w:type="dxa"/>
                </w:tcPr>
                <w:p>
                  <w:pPr>
                    <w:shd w:val="clear" w:color="auto" w:fill="EBF1DE" w:themeFill="accent3" w:themeFillTint="32"/>
                    <w:jc w:val="left"/>
                  </w:pPr>
                  <w:r>
                    <w:rPr>
                      <w:rFonts w:hint="eastAsia"/>
                      <w:lang w:val="en-US" w:eastAsia="zh-CN"/>
                    </w:rPr>
                    <w:t>加强能源管理</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lang w:val="en-US"/>
              </w:rPr>
            </w:pPr>
            <w:r>
              <w:rPr>
                <w:rFonts w:hint="eastAsia"/>
              </w:rPr>
              <w:t>达标评价：</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未开展能效测试，已与企业进行沟通。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2-3</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C759AB"/>
    <w:rsid w:val="08FF7023"/>
    <w:rsid w:val="337B4C8B"/>
    <w:rsid w:val="4DFC137D"/>
    <w:rsid w:val="52B05814"/>
    <w:rsid w:val="56593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4</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2022-05-15T14:50:15Z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