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60"/>
        <w:gridCol w:w="241"/>
        <w:gridCol w:w="479"/>
        <w:gridCol w:w="469"/>
        <w:gridCol w:w="1416"/>
        <w:gridCol w:w="86"/>
        <w:gridCol w:w="1004"/>
        <w:gridCol w:w="455"/>
        <w:gridCol w:w="479"/>
        <w:gridCol w:w="461"/>
        <w:gridCol w:w="70"/>
        <w:gridCol w:w="150"/>
        <w:gridCol w:w="470"/>
        <w:gridCol w:w="161"/>
        <w:gridCol w:w="169"/>
        <w:gridCol w:w="51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唐山中陶卫浴制造有限公司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30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唐山海港开发区港民街北侧海强路西侧办公楼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30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</w:rPr>
              <w:t>中国河北省唐山海港经济开发区21#路北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6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付文龙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15612591627</w:t>
            </w:r>
            <w:bookmarkEnd w:id="3"/>
          </w:p>
        </w:tc>
        <w:tc>
          <w:tcPr>
            <w:tcW w:w="6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2278099965@qq.com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65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5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6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6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0435-2022-EnMs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1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30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30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30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30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12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30" w:type="dxa"/>
            <w:gridSpan w:val="18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01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卫生陶瓷的设计和生产所涉及的能源管理相关活动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2.4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2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30" w:type="dxa"/>
            <w:gridSpan w:val="18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110-2014 能源管理体系 建筑卫生陶瓷企业认证要求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9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2022年05月14日 上午至2022年05月15日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2020-N1EnMS-2061499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13701012828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En2021-N1EnMS-1011923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53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9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9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380" w:type="dxa"/>
            <w:gridSpan w:val="5"/>
            <w:vAlign w:val="center"/>
          </w:tcPr>
          <w:p>
            <w:r>
              <w:rPr>
                <w:sz w:val="20"/>
                <w:lang w:val="de-DE"/>
              </w:rPr>
              <w:t>ISC-JSZJ-412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vAlign w:val="center"/>
          </w:tcPr>
          <w:p/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vAlign w:val="center"/>
          </w:tcPr>
          <w:p/>
        </w:tc>
        <w:tc>
          <w:tcPr>
            <w:tcW w:w="138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76960" cy="384175"/>
                  <wp:effectExtent l="0" t="0" r="0" b="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48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6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2022.5.10</w:t>
            </w:r>
          </w:p>
        </w:tc>
        <w:tc>
          <w:tcPr>
            <w:tcW w:w="148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2022.5.14</w:t>
            </w:r>
          </w:p>
        </w:tc>
      </w:tr>
    </w:tbl>
    <w:p/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4488815" cy="4749800"/>
            <wp:effectExtent l="0" t="0" r="698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815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3" w:name="_GoBack"/>
      <w:bookmarkEnd w:id="33"/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28"/>
        <w:gridCol w:w="1323"/>
        <w:gridCol w:w="3740"/>
        <w:gridCol w:w="1950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323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7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9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323" w:type="dxa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74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323" w:type="dxa"/>
            <w:vMerge w:val="restart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74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00-14:00</w:t>
            </w:r>
          </w:p>
        </w:tc>
        <w:tc>
          <w:tcPr>
            <w:tcW w:w="1323" w:type="dxa"/>
            <w:vMerge w:val="continue"/>
            <w:shd w:val="clear" w:color="auto" w:fill="FBD4B4" w:themeFill="accent6" w:themeFillTint="66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74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能源采购、用能设备采购及控制情况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1323" w:type="dxa"/>
            <w:shd w:val="clear" w:color="auto" w:fill="E6E0EC" w:themeFill="accent4" w:themeFillTint="3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74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主要用能设备（锅炉、烘干、烧成、工业炉窑等）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95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23" w:type="dxa"/>
            <w:vMerge w:val="restart"/>
            <w:shd w:val="clear" w:color="auto" w:fill="E6E0EC" w:themeFill="accent4" w:themeFillTint="32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能源设备部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74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</w:tc>
        <w:tc>
          <w:tcPr>
            <w:tcW w:w="195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1323" w:type="dxa"/>
            <w:vMerge w:val="continue"/>
            <w:shd w:val="clear" w:color="auto" w:fill="E6E0EC" w:themeFill="accent4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74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能源评审、能源绩效参数、能源基准、能源数据收集的策划、运行控制、能源采购（水、电）的控制、能源绩效监视测量、不符合纠正及纠正措施</w:t>
            </w:r>
          </w:p>
        </w:tc>
        <w:tc>
          <w:tcPr>
            <w:tcW w:w="195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1/8.3/9.1.1/10.1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30-15:00</w:t>
            </w:r>
          </w:p>
        </w:tc>
        <w:tc>
          <w:tcPr>
            <w:tcW w:w="1323" w:type="dxa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74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风险识别及管控、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法律法规及其它要求的收集合规性评价、内部审核实施、不符合纠正及纠正措施</w:t>
            </w:r>
          </w:p>
        </w:tc>
        <w:tc>
          <w:tcPr>
            <w:tcW w:w="195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/4.2/9.1.2/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323" w:type="dxa"/>
            <w:shd w:val="clear" w:color="auto" w:fill="C7DAF1" w:themeFill="tex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安环部</w:t>
            </w:r>
          </w:p>
        </w:tc>
        <w:tc>
          <w:tcPr>
            <w:tcW w:w="374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节能减排控制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</w:t>
            </w:r>
          </w:p>
        </w:tc>
        <w:tc>
          <w:tcPr>
            <w:tcW w:w="19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1/10.1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9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00-15:30</w:t>
            </w:r>
          </w:p>
        </w:tc>
        <w:tc>
          <w:tcPr>
            <w:tcW w:w="1323" w:type="dxa"/>
            <w:shd w:val="clear" w:color="auto" w:fill="FBD4B4" w:themeFill="accent6" w:themeFillTint="66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highlight w:val="none"/>
                <w:lang w:val="en-US" w:eastAsia="zh-CN"/>
              </w:rPr>
              <w:t>研发部</w:t>
            </w:r>
          </w:p>
        </w:tc>
        <w:tc>
          <w:tcPr>
            <w:tcW w:w="374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1/8.2/10.1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00-9:30</w:t>
            </w:r>
          </w:p>
        </w:tc>
        <w:tc>
          <w:tcPr>
            <w:tcW w:w="1323" w:type="dxa"/>
            <w:shd w:val="clear" w:color="auto" w:fill="FBD4B4" w:themeFill="accent6" w:themeFillTint="66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74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设计研发技改技措控制、运行控制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30-16:30</w:t>
            </w:r>
          </w:p>
        </w:tc>
        <w:tc>
          <w:tcPr>
            <w:tcW w:w="1323" w:type="dxa"/>
            <w:vMerge w:val="restart"/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  <w:t>品保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  <w:t>部</w:t>
            </w:r>
          </w:p>
        </w:tc>
        <w:tc>
          <w:tcPr>
            <w:tcW w:w="374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部门职责权限、目标指标、不符合纠正及纠正措施</w:t>
            </w:r>
          </w:p>
        </w:tc>
        <w:tc>
          <w:tcPr>
            <w:tcW w:w="19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30-10:30</w:t>
            </w:r>
          </w:p>
        </w:tc>
        <w:tc>
          <w:tcPr>
            <w:tcW w:w="1323" w:type="dxa"/>
            <w:vMerge w:val="continue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数据收集情况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运行控制情况</w:t>
            </w:r>
          </w:p>
        </w:tc>
        <w:tc>
          <w:tcPr>
            <w:tcW w:w="19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8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00-15:30</w:t>
            </w:r>
          </w:p>
        </w:tc>
        <w:tc>
          <w:tcPr>
            <w:tcW w:w="1323" w:type="dxa"/>
            <w:vMerge w:val="restart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制造中心（含一分厂、二分厂、生管部、技术部、检包车间等；关注倒班）</w:t>
            </w:r>
          </w:p>
        </w:tc>
        <w:tc>
          <w:tcPr>
            <w:tcW w:w="3740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</w:t>
            </w:r>
          </w:p>
        </w:tc>
        <w:tc>
          <w:tcPr>
            <w:tcW w:w="1950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8" w:type="dxa"/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30-15:30</w:t>
            </w:r>
          </w:p>
        </w:tc>
        <w:tc>
          <w:tcPr>
            <w:tcW w:w="1323" w:type="dxa"/>
            <w:vMerge w:val="continue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0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能源数据收集的策划、运行控制、能源绩效监视测量</w:t>
            </w:r>
          </w:p>
        </w:tc>
        <w:tc>
          <w:tcPr>
            <w:tcW w:w="1950" w:type="dxa"/>
            <w:shd w:val="clear" w:color="auto" w:fill="E6E0EC" w:themeFill="accent4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1/9.1.1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30-16:30</w:t>
            </w:r>
          </w:p>
        </w:tc>
        <w:tc>
          <w:tcPr>
            <w:tcW w:w="132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4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19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2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4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19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32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4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95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gQmitcAAAAKAQAADwAAAAAAAAABACAAAAAiAAAAZHJzL2Rvd25yZXYu&#10;eG1sUEsBAhQAFAAAAAgAh07iQDuz7oL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ZGIyZTY3YzZmMWI4MTNkN2RhNGEwN2Y1Nzk1MGIifQ=="/>
  </w:docVars>
  <w:rsids>
    <w:rsidRoot w:val="00D10851"/>
    <w:rsid w:val="0085248E"/>
    <w:rsid w:val="008835CD"/>
    <w:rsid w:val="00D10851"/>
    <w:rsid w:val="07AF0D38"/>
    <w:rsid w:val="0DE97C0E"/>
    <w:rsid w:val="14C2242A"/>
    <w:rsid w:val="243D30BB"/>
    <w:rsid w:val="33A827F2"/>
    <w:rsid w:val="372660F3"/>
    <w:rsid w:val="3F0A2477"/>
    <w:rsid w:val="6AAC6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1805</Words>
  <Characters>2826</Characters>
  <Lines>40</Lines>
  <Paragraphs>11</Paragraphs>
  <TotalTime>0</TotalTime>
  <ScaleCrop>false</ScaleCrop>
  <LinksUpToDate>false</LinksUpToDate>
  <CharactersWithSpaces>2890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2022-05-14T07:52:53Z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