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唐山中陶卫浴制造有限公司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孔祥春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下料——球磨——筛分——除铁——泥浆搅拌——成型制坯——烘干——施釉——烧成——检验——包装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主要能源使用：电力、天然气、煤气、水等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主要能源参数；综合能耗tce; 单位产品综合能耗Kgce/t; 单位产值综合能耗tce/万元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中华人民共和国合同法;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中华人民共和国计量法;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《能源管理体系 要求及使用指南》（GB/T23331-2020）;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110-2014</w:t>
            </w:r>
            <w:r>
              <w:rPr>
                <w:rFonts w:hint="eastAsia"/>
                <w:b/>
                <w:sz w:val="20"/>
                <w:lang w:val="en-US" w:eastAsia="zh-CN"/>
              </w:rPr>
              <w:t>建筑卫生陶瓷企业能源管理体系认证要求;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建筑卫生陶瓷单位产品能源消耗限额标准GB 21252-2013;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综合能耗计算通则GB 2589-2020等。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-22860</wp:posOffset>
                  </wp:positionV>
                  <wp:extent cx="1054735" cy="382270"/>
                  <wp:effectExtent l="0" t="0" r="12065" b="1143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-13335</wp:posOffset>
                  </wp:positionV>
                  <wp:extent cx="1076960" cy="384175"/>
                  <wp:effectExtent l="0" t="0" r="0" b="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9B75EA4"/>
    <w:rsid w:val="33332806"/>
    <w:rsid w:val="36FE6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2022-05-10T14:51:12Z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