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0650-2019-EO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重庆乐乐环保科技有限公司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文平</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E:39.02.01</w:t>
            </w:r>
          </w:p>
          <w:p>
            <w:pPr>
              <w:spacing w:line="240" w:lineRule="exact"/>
              <w:jc w:val="center"/>
              <w:rPr>
                <w:b/>
                <w:color w:val="000000"/>
                <w:sz w:val="20"/>
                <w:szCs w:val="20"/>
              </w:rPr>
            </w:pPr>
            <w:r>
              <w:rPr>
                <w:b/>
                <w:color w:val="000000"/>
                <w:sz w:val="20"/>
                <w:szCs w:val="20"/>
              </w:rPr>
              <w:t>O:39.02.01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hint="eastAsia" w:ascii="宋体" w:hAnsi="宋体"/>
          <w:lang w:val="en-US" w:eastAsia="zh-CN"/>
        </w:rPr>
        <w:t>ISO45001:2018</w:t>
      </w:r>
      <w:r>
        <w:rPr>
          <w:rFonts w:ascii="宋体" w:hAnsi="宋体"/>
          <w:b/>
          <w:color w:val="000000"/>
          <w:sz w:val="20"/>
          <w:szCs w:val="20"/>
          <w:lang w:val="de-DE"/>
        </w:rPr>
        <w:t xml:space="preserve">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z w:val="20"/>
          <w:szCs w:val="20"/>
          <w:lang w:val="de-DE"/>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重庆乐乐环保科技有限公司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重庆市江北区港城东路8号5幢5-1</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400000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重庆市江北区港城东路8号5幢5-1</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400000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刘敏</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13368128461</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谢勇</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邓久俊</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E：许可范围内的生活垃圾分类收集及其所涉及的相关环境管理活动</w:t>
            </w:r>
          </w:p>
          <w:p>
            <w:pPr>
              <w:spacing w:line="400" w:lineRule="exact"/>
              <w:rPr>
                <w:rFonts w:ascii="宋体" w:hAnsi="宋体"/>
                <w:b/>
                <w:color w:val="000000"/>
                <w:sz w:val="20"/>
                <w:szCs w:val="20"/>
              </w:rPr>
            </w:pPr>
            <w:r>
              <w:rPr>
                <w:rFonts w:ascii="宋体" w:hAnsi="宋体"/>
                <w:b/>
                <w:color w:val="000000"/>
                <w:sz w:val="20"/>
                <w:szCs w:val="20"/>
              </w:rPr>
              <w:t>O：许可范围内的生活垃圾分类收集及其所涉及的相关职业健康安全管理活动。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E：39.02.01</w:t>
            </w:r>
          </w:p>
          <w:p>
            <w:pPr>
              <w:spacing w:line="280" w:lineRule="exact"/>
              <w:rPr>
                <w:rFonts w:ascii="宋体"/>
                <w:b/>
                <w:color w:val="000000"/>
                <w:sz w:val="20"/>
                <w:szCs w:val="20"/>
              </w:rPr>
            </w:pPr>
            <w:r>
              <w:rPr>
                <w:rFonts w:ascii="宋体"/>
                <w:b/>
                <w:color w:val="000000"/>
                <w:sz w:val="20"/>
                <w:szCs w:val="20"/>
              </w:rPr>
              <w:t>O：39.02.01</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79" w:firstLineChars="139"/>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szCs w:val="21"/>
        </w:rPr>
        <w:t>综合部</w:t>
      </w:r>
      <w:r>
        <w:rPr>
          <w:rFonts w:hint="eastAsia"/>
          <w:szCs w:val="21"/>
          <w:lang w:eastAsia="zh-CN"/>
        </w:rPr>
        <w:t>、技术</w:t>
      </w:r>
      <w:r>
        <w:rPr>
          <w:rFonts w:hint="eastAsia"/>
          <w:szCs w:val="21"/>
        </w:rPr>
        <w:t>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bookmarkStart w:id="24" w:name="生产地址"/>
      <w:r>
        <w:t>重庆市江北区港城东路8号5幢5-1</w:t>
      </w:r>
      <w:bookmarkEnd w:id="24"/>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 xml:space="preserve">）删减是否合理 </w:t>
            </w:r>
          </w:p>
        </w:tc>
        <w:tc>
          <w:tcPr>
            <w:tcW w:w="970" w:type="dxa"/>
            <w:gridSpan w:val="2"/>
          </w:tcPr>
          <w:p>
            <w:pPr>
              <w:rPr>
                <w:rFonts w:ascii="宋体"/>
                <w:color w:val="000000"/>
                <w:spacing w:val="-10"/>
                <w:sz w:val="20"/>
                <w:szCs w:val="20"/>
              </w:rPr>
            </w:pP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rPr>
                <w:rFonts w:hint="eastAsia" w:ascii="宋体" w:hAnsi="宋体"/>
                <w:szCs w:val="21"/>
              </w:rPr>
              <w:t>许可范围内的生活垃圾分类收集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szCs w:val="21"/>
                <w:lang w:eastAsia="zh-CN"/>
              </w:rPr>
              <w:t>综合部</w:t>
            </w:r>
            <w:r>
              <w:rPr>
                <w:rFonts w:hint="eastAsia" w:ascii="宋体" w:hAnsi="宋体"/>
                <w:szCs w:val="21"/>
              </w:rPr>
              <w:t>、</w:t>
            </w:r>
            <w:r>
              <w:rPr>
                <w:rFonts w:hint="eastAsia" w:ascii="宋体" w:hAnsi="宋体"/>
                <w:szCs w:val="21"/>
                <w:lang w:eastAsia="zh-CN"/>
              </w:rPr>
              <w:t>技术部</w:t>
            </w:r>
            <w:r>
              <w:rPr>
                <w:rFonts w:hint="eastAsia" w:ascii="宋体" w:hAnsi="宋体"/>
                <w:szCs w:val="21"/>
              </w:rPr>
              <w:t>、财务部。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szCs w:val="21"/>
                <w:lang w:eastAsia="zh-CN"/>
              </w:rPr>
              <w:t>综合部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szCs w:val="21"/>
                <w:lang w:eastAsia="zh-CN"/>
              </w:rPr>
              <w:t>技术部</w:t>
            </w:r>
          </w:p>
          <w:p>
            <w:pPr>
              <w:tabs>
                <w:tab w:val="left" w:pos="360"/>
              </w:tabs>
              <w:spacing w:beforeLines="50"/>
              <w:ind w:left="357" w:hanging="357"/>
              <w:rPr>
                <w:rFonts w:hint="eastAsia" w:ascii="宋体" w:hAnsi="宋体"/>
                <w:szCs w:val="21"/>
              </w:rPr>
            </w:pPr>
            <w:r>
              <w:rPr>
                <w:rFonts w:hint="eastAsia" w:ascii="宋体" w:hAnsi="宋体"/>
                <w:b/>
                <w:color w:val="000000"/>
                <w:sz w:val="20"/>
                <w:szCs w:val="20"/>
              </w:rPr>
              <w:t>环境管理主管部门：</w:t>
            </w:r>
            <w:r>
              <w:rPr>
                <w:rFonts w:hint="eastAsia" w:ascii="宋体" w:hAnsi="宋体"/>
                <w:szCs w:val="21"/>
                <w:lang w:eastAsia="zh-CN"/>
              </w:rPr>
              <w:t>综合部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szCs w:val="21"/>
                <w:lang w:eastAsia="zh-CN"/>
              </w:rPr>
              <w:t>综合部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lang w:val="en-US" w:eastAsia="zh-CN"/>
              </w:rPr>
              <w:t>1</w:t>
            </w:r>
            <w:r>
              <w:rPr>
                <w:rFonts w:hint="eastAsia" w:ascii="宋体" w:hAnsi="宋体"/>
                <w:color w:val="000000"/>
                <w:sz w:val="20"/>
                <w:szCs w:val="20"/>
              </w:rPr>
              <w:t>个</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hint="eastAsia" w:asci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420" w:leftChars="200" w:firstLine="1052" w:firstLineChars="526"/>
              <w:rPr>
                <w:rFonts w:ascii="宋体"/>
                <w:color w:val="000000"/>
                <w:sz w:val="20"/>
                <w:szCs w:val="20"/>
              </w:rPr>
            </w:pPr>
            <w:r>
              <w:rPr>
                <w:rFonts w:hint="eastAsia" w:ascii="宋体" w:hAnsi="宋体"/>
                <w:color w:val="000000"/>
                <w:sz w:val="20"/>
                <w:szCs w:val="20"/>
              </w:rPr>
              <w:t>受审核方位于：</w:t>
            </w:r>
            <w:r>
              <w:t>重庆市江北区港城东路8号5幢5-1</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highlight w:val="none"/>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  种产品，规格  型号  种有   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w:t>
            </w:r>
            <w:r>
              <w:rPr>
                <w:rFonts w:hint="eastAsia" w:ascii="宋体" w:hAnsi="宋体"/>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r>
              <w:rPr>
                <w:rFonts w:hint="eastAsia" w:ascii="宋体" w:hAnsi="宋体"/>
                <w:szCs w:val="21"/>
              </w:rPr>
              <w:t>污水排入城镇下水道水质标准（</w:t>
            </w:r>
            <w:r>
              <w:rPr>
                <w:rFonts w:ascii="宋体" w:hAnsi="宋体"/>
                <w:szCs w:val="21"/>
              </w:rPr>
              <w:t>GB/T 31962-2015</w:t>
            </w:r>
            <w:r>
              <w:rPr>
                <w:rFonts w:hint="eastAsia" w:ascii="宋体" w:hAnsi="宋体"/>
                <w:szCs w:val="21"/>
              </w:rPr>
              <w:t>）、</w:t>
            </w:r>
            <w:r>
              <w:rPr>
                <w:rFonts w:hint="eastAsia" w:ascii="宋体" w:hAnsi="宋体" w:cs="宋体"/>
                <w:szCs w:val="21"/>
              </w:rPr>
              <w:t>大气污染物综合排放标准（GB 50/418-2016）、</w:t>
            </w:r>
            <w:r>
              <w:rPr>
                <w:rFonts w:hint="eastAsia" w:ascii="宋体" w:hAnsi="宋体"/>
                <w:szCs w:val="21"/>
              </w:rPr>
              <w:t>工业企业厂界环境噪声排放标准（GB12348-2008）3类</w:t>
            </w:r>
            <w:r>
              <w:rPr>
                <w:rFonts w:hint="eastAsia" w:ascii="宋体"/>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pacing w:val="-1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spacing w:line="420" w:lineRule="exact"/>
              <w:rPr>
                <w:rFonts w:hint="eastAsia" w:ascii="宋体" w:hAnsi="宋体"/>
                <w:color w:val="000000"/>
                <w:szCs w:val="21"/>
              </w:rPr>
            </w:pPr>
            <w:r>
              <w:rPr>
                <w:rFonts w:hint="eastAsia" w:ascii="宋体" w:hAnsi="宋体"/>
                <w:szCs w:val="21"/>
                <w:lang w:eastAsia="zh-CN"/>
              </w:rPr>
              <w:t>生活垃圾收集服务</w:t>
            </w:r>
            <w:r>
              <w:rPr>
                <w:rFonts w:hint="eastAsia" w:ascii="宋体" w:hAnsi="宋体"/>
                <w:szCs w:val="21"/>
              </w:rPr>
              <w:t>流程：</w:t>
            </w:r>
          </w:p>
          <w:p>
            <w:pPr>
              <w:pStyle w:val="14"/>
              <w:numPr>
                <w:ilvl w:val="0"/>
                <w:numId w:val="0"/>
              </w:numPr>
              <w:tabs>
                <w:tab w:val="center" w:pos="3169"/>
              </w:tabs>
              <w:spacing w:line="400" w:lineRule="exact"/>
              <w:ind w:leftChars="0"/>
              <w:jc w:val="left"/>
              <w:rPr>
                <w:rFonts w:ascii="宋体"/>
                <w:color w:val="000000"/>
                <w:sz w:val="20"/>
                <w:szCs w:val="20"/>
              </w:rPr>
            </w:pPr>
            <w:r>
              <w:rPr>
                <w:rFonts w:hint="eastAsia" w:ascii="宋体" w:hAnsi="宋体"/>
                <w:color w:val="000000"/>
                <w:szCs w:val="21"/>
                <w:highlight w:val="none"/>
                <w:lang w:eastAsia="zh-CN"/>
              </w:rPr>
              <w:t>合同或协议签订—垃圾分类智能回收设备的铺设--向居民宣传推广使用如何垃圾分类—居民分类投放垃圾—清运--垃圾分类复核分拣。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pStyle w:val="14"/>
              <w:numPr>
                <w:ilvl w:val="0"/>
                <w:numId w:val="0"/>
              </w:numPr>
              <w:tabs>
                <w:tab w:val="center" w:pos="3169"/>
              </w:tabs>
              <w:spacing w:line="400" w:lineRule="exact"/>
              <w:ind w:leftChars="0"/>
              <w:jc w:val="left"/>
              <w:rPr>
                <w:rFonts w:hint="eastAsia" w:ascii="宋体" w:hAnsi="宋体"/>
                <w:color w:val="000000"/>
                <w:szCs w:val="21"/>
                <w:highlight w:val="none"/>
                <w:lang w:eastAsia="zh-CN"/>
              </w:rPr>
            </w:pPr>
            <w:r>
              <w:rPr>
                <w:rFonts w:hint="eastAsia" w:ascii="宋体" w:hAnsi="宋体"/>
                <w:color w:val="000000"/>
                <w:sz w:val="20"/>
                <w:szCs w:val="20"/>
              </w:rPr>
              <w:t>关键过程有：</w:t>
            </w:r>
            <w:r>
              <w:rPr>
                <w:rFonts w:hint="eastAsia" w:ascii="宋体" w:hAnsi="宋体"/>
                <w:color w:val="000000"/>
                <w:szCs w:val="21"/>
                <w:highlight w:val="none"/>
                <w:lang w:eastAsia="zh-CN"/>
              </w:rPr>
              <w:t>垃圾分类为关键过程</w:t>
            </w:r>
          </w:p>
          <w:p>
            <w:pPr>
              <w:rPr>
                <w:rFonts w:ascii="宋体"/>
                <w:color w:val="000000"/>
                <w:sz w:val="20"/>
                <w:szCs w:val="20"/>
              </w:rPr>
            </w:pPr>
            <w:r>
              <w:rPr>
                <w:rFonts w:hint="eastAsia" w:ascii="宋体" w:hAns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针对关键过程建立的控制文件有：销售服务管理制度、尔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 xml:space="preserve">需要确认过程：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highlight w:val="green"/>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highlight w:val="green"/>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highlight w:val="green"/>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400" w:lineRule="exact"/>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cs="宋体"/>
                <w:color w:val="000000" w:themeColor="text1"/>
                <w:sz w:val="21"/>
                <w:szCs w:val="21"/>
                <w:highlight w:val="none"/>
                <w:lang w:eastAsia="zh-CN"/>
              </w:rPr>
              <w:t>智能垃圾分类收集箱</w:t>
            </w:r>
            <w:r>
              <w:rPr>
                <w:rFonts w:hint="eastAsia"/>
                <w:szCs w:val="21"/>
                <w:highlight w:val="none"/>
                <w:lang w:eastAsia="zh-CN"/>
              </w:rPr>
              <w:t>、电脑及</w:t>
            </w:r>
            <w:r>
              <w:rPr>
                <w:rFonts w:hint="eastAsia"/>
                <w:szCs w:val="21"/>
                <w:highlight w:val="none"/>
              </w:rPr>
              <w:t>办公设备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000000"/>
                <w:sz w:val="20"/>
                <w:szCs w:val="20"/>
                <w:lang w:eastAsia="zh-CN"/>
              </w:rPr>
            </w:pPr>
            <w:r>
              <w:rPr>
                <w:rFonts w:hint="eastAsia" w:ascii="宋体"/>
                <w:color w:val="000000"/>
                <w:sz w:val="20"/>
                <w:szCs w:val="20"/>
              </w:rPr>
              <w:t>监视和测量设备（请简述主要监视和测量设备）：</w:t>
            </w:r>
            <w:r>
              <w:rPr>
                <w:rFonts w:hint="eastAsia" w:ascii="宋体"/>
                <w:color w:val="000000"/>
                <w:sz w:val="20"/>
                <w:szCs w:val="20"/>
                <w:lang w:eastAsia="zh-CN"/>
              </w:rPr>
              <w:t>电子台秤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hAnsi="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tabs>
                <w:tab w:val="left" w:pos="1080"/>
              </w:tabs>
              <w:spacing w:line="400" w:lineRule="exact"/>
              <w:ind w:firstLine="200" w:firstLineChars="100"/>
              <w:rPr>
                <w:rFonts w:hint="eastAsia" w:ascii="宋体" w:eastAsia="宋体"/>
                <w:color w:val="000000"/>
                <w:sz w:val="20"/>
                <w:szCs w:val="20"/>
                <w:lang w:eastAsia="zh-CN"/>
              </w:rPr>
            </w:pPr>
            <w:r>
              <w:rPr>
                <w:rFonts w:hint="eastAsia" w:ascii="宋体"/>
                <w:color w:val="000000"/>
                <w:sz w:val="20"/>
                <w:szCs w:val="20"/>
              </w:rPr>
              <w:t>重要环境因素有：潜在火灾、固废排放</w:t>
            </w:r>
            <w:r>
              <w:rPr>
                <w:rFonts w:hint="eastAsia" w:ascii="宋体"/>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针对重要环境因素建立了运行控制程序：有（1）危险源和环境因素识别与评价管理程序；（2）环境和职业健康安全运行管理程序。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针对重要环境因素是否明确了监视和测量的要求：有：监视和测量管理程序。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应急预案有：火灾应急预案，触电应急预案。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ascii="宋体"/>
                <w:color w:val="000000"/>
                <w:sz w:val="20"/>
                <w:szCs w:val="20"/>
                <w:highlight w:val="none"/>
              </w:rPr>
              <w:t>：</w:t>
            </w:r>
            <w:r>
              <w:rPr>
                <w:rFonts w:hint="eastAsia"/>
                <w:szCs w:val="21"/>
                <w:highlight w:val="none"/>
              </w:rPr>
              <w:t>1）火灾；2）</w:t>
            </w:r>
            <w:r>
              <w:rPr>
                <w:rFonts w:hint="eastAsia"/>
                <w:szCs w:val="21"/>
                <w:highlight w:val="none"/>
                <w:lang w:eastAsia="zh-CN"/>
              </w:rPr>
              <w:t>交通事故</w:t>
            </w:r>
            <w:r>
              <w:rPr>
                <w:rFonts w:hint="eastAsia"/>
                <w:szCs w:val="21"/>
                <w:highlight w:val="none"/>
              </w:rPr>
              <w:t>；3）</w:t>
            </w:r>
            <w:r>
              <w:rPr>
                <w:rFonts w:hint="eastAsia"/>
                <w:szCs w:val="21"/>
                <w:highlight w:val="none"/>
                <w:lang w:eastAsia="zh-CN"/>
              </w:rPr>
              <w:t>中暑</w:t>
            </w:r>
            <w:r>
              <w:rPr>
                <w:rFonts w:hint="eastAsia"/>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针对不可接受风险建立了运行控制程序：有（1）危险源和环境因素识别与评价管理程序；（2）环境和职业健康安全运行管理程序。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针对不可接受风险是否明确了监视和测量的要求：有：监视和测量管理程序。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tabs>
                <w:tab w:val="right" w:pos="9263"/>
              </w:tabs>
              <w:rPr>
                <w:rFonts w:ascii="宋体"/>
                <w:color w:val="000000"/>
                <w:sz w:val="20"/>
                <w:szCs w:val="20"/>
              </w:rPr>
            </w:pPr>
            <w:r>
              <w:rPr>
                <w:rFonts w:hint="eastAsia" w:ascii="宋体"/>
                <w:color w:val="000000"/>
                <w:sz w:val="20"/>
                <w:szCs w:val="20"/>
              </w:rPr>
              <w:t>是否针对每一种潜在紧急情况建立了应急响应预案是否充分■是□否□充分□需完善</w:t>
            </w:r>
            <w:r>
              <w:rPr>
                <w:rFonts w:hint="eastAsia" w:ascii="宋体"/>
                <w:color w:val="000000"/>
                <w:sz w:val="20"/>
                <w:szCs w:val="20"/>
              </w:rPr>
              <w:tab/>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highlight w:val="none"/>
              </w:rPr>
            </w:pPr>
            <w:r>
              <w:rPr>
                <w:rFonts w:hint="eastAsia" w:ascii="宋体"/>
                <w:color w:val="000000"/>
                <w:sz w:val="20"/>
                <w:szCs w:val="20"/>
              </w:rPr>
              <w:t>组织员工人数</w:t>
            </w:r>
            <w:r>
              <w:rPr>
                <w:rFonts w:hint="eastAsia" w:ascii="宋体"/>
                <w:color w:val="000000"/>
                <w:sz w:val="20"/>
                <w:szCs w:val="20"/>
                <w:highlight w:val="none"/>
              </w:rPr>
              <w:t>：</w:t>
            </w:r>
            <w:r>
              <w:rPr>
                <w:rFonts w:hint="eastAsia" w:ascii="宋体"/>
                <w:color w:val="000000"/>
                <w:sz w:val="20"/>
                <w:szCs w:val="20"/>
                <w:highlight w:val="none"/>
                <w:u w:val="single"/>
                <w:lang w:val="en-US" w:eastAsia="zh-CN"/>
              </w:rPr>
              <w:t>20</w:t>
            </w:r>
            <w:r>
              <w:rPr>
                <w:rFonts w:hint="eastAsia" w:ascii="宋体"/>
                <w:color w:val="000000"/>
                <w:sz w:val="20"/>
                <w:szCs w:val="20"/>
                <w:highlight w:val="none"/>
              </w:rPr>
              <w:t>人，其中管理人员：</w:t>
            </w:r>
            <w:r>
              <w:rPr>
                <w:rFonts w:hint="eastAsia" w:ascii="宋体"/>
                <w:color w:val="000000"/>
                <w:sz w:val="20"/>
                <w:szCs w:val="20"/>
                <w:highlight w:val="none"/>
                <w:lang w:val="en-US" w:eastAsia="zh-CN"/>
              </w:rPr>
              <w:t>5</w:t>
            </w:r>
            <w:bookmarkStart w:id="25" w:name="_GoBack"/>
            <w:bookmarkEnd w:id="25"/>
            <w:r>
              <w:rPr>
                <w:rFonts w:hint="eastAsia" w:ascii="宋体"/>
                <w:color w:val="000000"/>
                <w:sz w:val="20"/>
                <w:szCs w:val="20"/>
                <w:highlight w:val="none"/>
              </w:rPr>
              <w:t>人</w:t>
            </w:r>
          </w:p>
          <w:p>
            <w:pPr>
              <w:spacing w:line="360" w:lineRule="auto"/>
              <w:rPr>
                <w:rFonts w:ascii="宋体"/>
                <w:color w:val="000000"/>
                <w:sz w:val="20"/>
                <w:szCs w:val="20"/>
                <w:highlight w:val="none"/>
              </w:rPr>
            </w:pPr>
            <w:r>
              <w:rPr>
                <w:rFonts w:hint="eastAsia" w:ascii="宋体"/>
                <w:color w:val="000000"/>
                <w:sz w:val="20"/>
                <w:szCs w:val="20"/>
                <w:highlight w:val="none"/>
              </w:rPr>
              <w:t>有固定多场所时，场所</w:t>
            </w:r>
            <w:r>
              <w:rPr>
                <w:rFonts w:ascii="宋体"/>
                <w:color w:val="000000"/>
                <w:sz w:val="20"/>
                <w:szCs w:val="20"/>
                <w:highlight w:val="none"/>
              </w:rPr>
              <w:t>1</w:t>
            </w:r>
            <w:r>
              <w:rPr>
                <w:rFonts w:hint="eastAsia" w:ascii="宋体"/>
                <w:color w:val="000000"/>
                <w:sz w:val="20"/>
                <w:szCs w:val="20"/>
                <w:highlight w:val="none"/>
              </w:rPr>
              <w:t>：人，场所</w:t>
            </w:r>
            <w:r>
              <w:rPr>
                <w:rFonts w:ascii="宋体"/>
                <w:color w:val="000000"/>
                <w:sz w:val="20"/>
                <w:szCs w:val="20"/>
                <w:highlight w:val="none"/>
              </w:rPr>
              <w:t>2</w:t>
            </w:r>
            <w:r>
              <w:rPr>
                <w:rFonts w:hint="eastAsia" w:ascii="宋体"/>
                <w:color w:val="000000"/>
                <w:sz w:val="20"/>
                <w:szCs w:val="20"/>
                <w:highlight w:val="none"/>
              </w:rPr>
              <w:t>：人，场所</w:t>
            </w:r>
            <w:r>
              <w:rPr>
                <w:rFonts w:ascii="宋体"/>
                <w:color w:val="000000"/>
                <w:sz w:val="20"/>
                <w:szCs w:val="20"/>
                <w:highlight w:val="none"/>
              </w:rPr>
              <w:t>3</w:t>
            </w:r>
            <w:r>
              <w:rPr>
                <w:rFonts w:hint="eastAsia" w:ascii="宋体"/>
                <w:color w:val="000000"/>
                <w:sz w:val="20"/>
                <w:szCs w:val="20"/>
                <w:highlight w:val="none"/>
              </w:rPr>
              <w:t>：人，场所</w:t>
            </w:r>
            <w:r>
              <w:rPr>
                <w:rFonts w:ascii="宋体"/>
                <w:color w:val="000000"/>
                <w:sz w:val="20"/>
                <w:szCs w:val="20"/>
                <w:highlight w:val="none"/>
              </w:rPr>
              <w:t>4</w:t>
            </w:r>
            <w:r>
              <w:rPr>
                <w:rFonts w:hint="eastAsia" w:ascii="宋体"/>
                <w:color w:val="000000"/>
                <w:sz w:val="20"/>
                <w:szCs w:val="20"/>
                <w:highlight w:val="none"/>
              </w:rPr>
              <w:t>：人</w:t>
            </w:r>
          </w:p>
          <w:p>
            <w:pPr>
              <w:spacing w:line="360" w:lineRule="auto"/>
              <w:rPr>
                <w:rFonts w:ascii="宋体"/>
                <w:color w:val="000000"/>
                <w:sz w:val="20"/>
                <w:szCs w:val="20"/>
                <w:highlight w:val="none"/>
              </w:rPr>
            </w:pPr>
            <w:r>
              <w:rPr>
                <w:rFonts w:hint="eastAsia" w:ascii="宋体"/>
                <w:color w:val="000000"/>
                <w:sz w:val="20"/>
                <w:szCs w:val="20"/>
                <w:highlight w:val="none"/>
              </w:rPr>
              <w:t>有临时场所时，场所</w:t>
            </w:r>
            <w:r>
              <w:rPr>
                <w:rFonts w:ascii="宋体"/>
                <w:color w:val="000000"/>
                <w:sz w:val="20"/>
                <w:szCs w:val="20"/>
                <w:highlight w:val="none"/>
              </w:rPr>
              <w:t>1</w:t>
            </w:r>
            <w:r>
              <w:rPr>
                <w:rFonts w:hint="eastAsia" w:ascii="宋体"/>
                <w:color w:val="000000"/>
                <w:sz w:val="20"/>
                <w:szCs w:val="20"/>
                <w:highlight w:val="none"/>
              </w:rPr>
              <w:t>：</w:t>
            </w:r>
            <w:r>
              <w:rPr>
                <w:rFonts w:hint="eastAsia" w:ascii="宋体"/>
                <w:color w:val="000000"/>
                <w:sz w:val="20"/>
                <w:szCs w:val="20"/>
                <w:highlight w:val="none"/>
                <w:u w:val="single"/>
                <w:lang w:val="en-US" w:eastAsia="zh-CN"/>
              </w:rPr>
              <w:t>3</w:t>
            </w:r>
            <w:r>
              <w:rPr>
                <w:rFonts w:hint="eastAsia" w:ascii="宋体"/>
                <w:color w:val="000000"/>
                <w:sz w:val="20"/>
                <w:szCs w:val="20"/>
                <w:highlight w:val="none"/>
              </w:rPr>
              <w:t>人，场所</w:t>
            </w:r>
            <w:r>
              <w:rPr>
                <w:rFonts w:ascii="宋体"/>
                <w:color w:val="000000"/>
                <w:sz w:val="20"/>
                <w:szCs w:val="20"/>
                <w:highlight w:val="none"/>
              </w:rPr>
              <w:t>2</w:t>
            </w:r>
            <w:r>
              <w:rPr>
                <w:rFonts w:hint="eastAsia" w:ascii="宋体"/>
                <w:color w:val="000000"/>
                <w:sz w:val="20"/>
                <w:szCs w:val="20"/>
                <w:highlight w:val="none"/>
              </w:rPr>
              <w:t>：人，场所</w:t>
            </w:r>
            <w:r>
              <w:rPr>
                <w:rFonts w:ascii="宋体"/>
                <w:color w:val="000000"/>
                <w:sz w:val="20"/>
                <w:szCs w:val="20"/>
                <w:highlight w:val="none"/>
              </w:rPr>
              <w:t>3</w:t>
            </w:r>
            <w:r>
              <w:rPr>
                <w:rFonts w:hint="eastAsia" w:ascii="宋体"/>
                <w:color w:val="000000"/>
                <w:sz w:val="20"/>
                <w:szCs w:val="20"/>
                <w:highlight w:val="none"/>
              </w:rPr>
              <w:t>：人，场所</w:t>
            </w:r>
            <w:r>
              <w:rPr>
                <w:rFonts w:ascii="宋体"/>
                <w:color w:val="000000"/>
                <w:sz w:val="20"/>
                <w:szCs w:val="20"/>
                <w:highlight w:val="none"/>
              </w:rPr>
              <w:t>4</w:t>
            </w:r>
            <w:r>
              <w:rPr>
                <w:rFonts w:hint="eastAsia" w:ascii="宋体"/>
                <w:color w:val="000000"/>
                <w:sz w:val="20"/>
                <w:szCs w:val="20"/>
                <w:highlight w:val="none"/>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360" w:lineRule="auto"/>
              <w:rPr>
                <w:rFonts w:ascii="宋体"/>
                <w:b/>
                <w:color w:val="000000"/>
                <w:szCs w:val="21"/>
              </w:rPr>
            </w:pPr>
            <w:r>
              <w:rPr>
                <w:rFonts w:hint="eastAsia" w:ascii="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400" w:lineRule="exact"/>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szCs w:val="21"/>
              </w:rPr>
              <w:t>综合部、</w:t>
            </w:r>
            <w:r>
              <w:rPr>
                <w:rFonts w:hint="eastAsia" w:ascii="宋体" w:hAnsi="宋体"/>
                <w:szCs w:val="21"/>
                <w:lang w:eastAsia="zh-CN"/>
              </w:rPr>
              <w:t>技术</w:t>
            </w:r>
            <w:r>
              <w:rPr>
                <w:rFonts w:hint="eastAsia" w:ascii="宋体" w:hAnsi="宋体"/>
                <w:szCs w:val="21"/>
              </w:rPr>
              <w:t>部、</w:t>
            </w:r>
            <w:r>
              <w:rPr>
                <w:rFonts w:hint="eastAsia" w:ascii="宋体" w:hAnsi="宋体"/>
                <w:szCs w:val="21"/>
                <w:lang w:eastAsia="zh-CN"/>
              </w:rPr>
              <w:t>财务</w:t>
            </w:r>
            <w:r>
              <w:rPr>
                <w:rFonts w:hint="eastAsia" w:ascii="宋体" w:hAnsi="宋体"/>
                <w:szCs w:val="21"/>
              </w:rPr>
              <w:t>部</w:t>
            </w:r>
          </w:p>
          <w:p>
            <w:pPr>
              <w:spacing w:line="260" w:lineRule="exact"/>
              <w:rPr>
                <w:rFonts w:ascii="宋体"/>
                <w:b/>
                <w:color w:val="000000"/>
                <w:sz w:val="20"/>
                <w:szCs w:val="20"/>
              </w:rPr>
            </w:pPr>
            <w:r>
              <w:rPr>
                <w:rFonts w:hint="eastAsia" w:ascii="宋体" w:hAnsi="宋体"/>
                <w:b/>
                <w:color w:val="000000"/>
                <w:sz w:val="20"/>
                <w:szCs w:val="20"/>
              </w:rPr>
              <w:t>重点审核场所：办公场所、服务场所。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szCs w:val="21"/>
              </w:rPr>
              <w:t>综合部、</w:t>
            </w:r>
            <w:r>
              <w:rPr>
                <w:rFonts w:hint="eastAsia" w:ascii="宋体" w:hAnsi="宋体"/>
                <w:szCs w:val="21"/>
                <w:lang w:eastAsia="zh-CN"/>
              </w:rPr>
              <w:t>技术</w:t>
            </w:r>
            <w:r>
              <w:rPr>
                <w:rFonts w:hint="eastAsia" w:ascii="宋体" w:hAnsi="宋体"/>
                <w:szCs w:val="21"/>
              </w:rPr>
              <w:t>部、</w:t>
            </w:r>
            <w:r>
              <w:rPr>
                <w:rFonts w:hint="eastAsia" w:ascii="宋体" w:hAnsi="宋体"/>
                <w:szCs w:val="21"/>
                <w:lang w:eastAsia="zh-CN"/>
              </w:rPr>
              <w:t>财务</w:t>
            </w:r>
            <w:r>
              <w:rPr>
                <w:rFonts w:hint="eastAsia" w:ascii="宋体" w:hAnsi="宋体"/>
                <w:szCs w:val="21"/>
              </w:rPr>
              <w:t>部</w:t>
            </w:r>
          </w:p>
          <w:p>
            <w:pPr>
              <w:spacing w:line="260" w:lineRule="exact"/>
              <w:rPr>
                <w:rFonts w:ascii="宋体"/>
                <w:b/>
                <w:color w:val="000000"/>
                <w:sz w:val="20"/>
                <w:szCs w:val="20"/>
              </w:rPr>
            </w:pPr>
            <w:r>
              <w:rPr>
                <w:rFonts w:hint="eastAsia" w:ascii="宋体" w:hAnsi="宋体"/>
                <w:b/>
                <w:color w:val="000000"/>
                <w:sz w:val="20"/>
                <w:szCs w:val="20"/>
              </w:rPr>
              <w:t>重点审核场所：办公场所、服务场所。</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建立有《内部审核管理制度》，于2019年</w:t>
            </w:r>
            <w:r>
              <w:rPr>
                <w:rFonts w:hint="eastAsia"/>
                <w:szCs w:val="21"/>
                <w:lang w:val="en-US" w:eastAsia="zh-CN"/>
              </w:rPr>
              <w:t>11</w:t>
            </w:r>
            <w:r>
              <w:rPr>
                <w:rFonts w:hint="eastAsia"/>
                <w:szCs w:val="21"/>
              </w:rPr>
              <w:t>月1</w:t>
            </w:r>
            <w:r>
              <w:rPr>
                <w:rFonts w:hint="eastAsia"/>
                <w:szCs w:val="21"/>
                <w:lang w:val="en-US" w:eastAsia="zh-CN"/>
              </w:rPr>
              <w:t>0</w:t>
            </w:r>
            <w:r>
              <w:rPr>
                <w:rFonts w:hint="eastAsia"/>
                <w:szCs w:val="21"/>
              </w:rPr>
              <w:t>日进行了内部审核。</w:t>
            </w:r>
          </w:p>
          <w:p>
            <w:pPr>
              <w:spacing w:line="400" w:lineRule="exact"/>
              <w:rPr>
                <w:rFonts w:ascii="宋体"/>
                <w:b/>
                <w:color w:val="000000"/>
                <w:sz w:val="20"/>
                <w:szCs w:val="20"/>
              </w:rPr>
            </w:pPr>
            <w:r>
              <w:rPr>
                <w:rFonts w:hint="eastAsia"/>
                <w:szCs w:val="21"/>
              </w:rPr>
              <w:t>内部审核组由：</w:t>
            </w:r>
            <w:r>
              <w:rPr>
                <w:rFonts w:hint="eastAsia" w:ascii="宋体" w:hAnsi="宋体"/>
                <w:szCs w:val="21"/>
                <w:lang w:eastAsia="zh-CN"/>
              </w:rPr>
              <w:t>邓久俊</w:t>
            </w:r>
            <w:r>
              <w:rPr>
                <w:rFonts w:hint="eastAsia"/>
                <w:szCs w:val="21"/>
              </w:rPr>
              <w:t>（组长）、</w:t>
            </w:r>
            <w:r>
              <w:rPr>
                <w:rFonts w:hint="eastAsia"/>
                <w:szCs w:val="21"/>
                <w:lang w:eastAsia="zh-CN"/>
              </w:rPr>
              <w:t>肖发宁</w:t>
            </w:r>
            <w:r>
              <w:rPr>
                <w:rFonts w:hint="eastAsia"/>
                <w:szCs w:val="21"/>
              </w:rPr>
              <w:t>（组员）组成。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1"/>
              </w:numPr>
              <w:spacing w:line="340" w:lineRule="exact"/>
              <w:rPr>
                <w:rFonts w:ascii="仿宋" w:hAnsi="仿宋" w:eastAsia="仿宋"/>
                <w:sz w:val="24"/>
              </w:rPr>
            </w:pPr>
            <w:r>
              <w:rPr>
                <w:rFonts w:ascii="仿宋" w:hAnsi="仿宋" w:eastAsia="仿宋"/>
                <w:sz w:val="24"/>
              </w:rPr>
              <w:t>审核范围:</w:t>
            </w:r>
            <w:r>
              <w:rPr>
                <w:rFonts w:hint="eastAsia" w:ascii="仿宋" w:hAnsi="仿宋" w:eastAsia="仿宋"/>
                <w:sz w:val="24"/>
              </w:rPr>
              <w:t>管理体系</w:t>
            </w:r>
            <w:r>
              <w:rPr>
                <w:rFonts w:ascii="仿宋" w:hAnsi="仿宋" w:eastAsia="仿宋"/>
                <w:sz w:val="24"/>
              </w:rPr>
              <w:t>涉及的</w:t>
            </w:r>
            <w:r>
              <w:rPr>
                <w:rFonts w:hint="eastAsia" w:ascii="仿宋" w:hAnsi="仿宋" w:eastAsia="仿宋"/>
                <w:sz w:val="24"/>
              </w:rPr>
              <w:t>公司</w:t>
            </w:r>
            <w:r>
              <w:rPr>
                <w:rFonts w:ascii="仿宋" w:hAnsi="仿宋" w:eastAsia="仿宋"/>
                <w:sz w:val="24"/>
              </w:rPr>
              <w:t>所有部门</w:t>
            </w:r>
            <w:r>
              <w:rPr>
                <w:rFonts w:hint="eastAsia" w:ascii="仿宋" w:hAnsi="仿宋" w:eastAsia="仿宋"/>
                <w:sz w:val="24"/>
              </w:rPr>
              <w:t>、服务场所</w:t>
            </w:r>
            <w:r>
              <w:rPr>
                <w:rFonts w:ascii="仿宋" w:hAnsi="仿宋" w:eastAsia="仿宋"/>
                <w:sz w:val="24"/>
              </w:rPr>
              <w:t>及</w:t>
            </w:r>
            <w:r>
              <w:rPr>
                <w:rFonts w:hint="eastAsia" w:ascii="仿宋" w:hAnsi="仿宋" w:eastAsia="仿宋"/>
                <w:sz w:val="24"/>
              </w:rPr>
              <w:t>活动场所</w:t>
            </w:r>
            <w:r>
              <w:rPr>
                <w:rFonts w:ascii="仿宋" w:hAnsi="仿宋" w:eastAsia="仿宋"/>
                <w:sz w:val="24"/>
              </w:rPr>
              <w:t>。</w:t>
            </w:r>
          </w:p>
          <w:p>
            <w:pPr>
              <w:numPr>
                <w:ilvl w:val="0"/>
                <w:numId w:val="1"/>
              </w:numPr>
              <w:spacing w:line="340" w:lineRule="exact"/>
              <w:rPr>
                <w:rFonts w:ascii="宋体"/>
                <w:b/>
                <w:color w:val="000000"/>
                <w:sz w:val="20"/>
                <w:szCs w:val="20"/>
              </w:rPr>
            </w:pPr>
            <w:r>
              <w:rPr>
                <w:rFonts w:ascii="仿宋" w:hAnsi="仿宋" w:eastAsia="仿宋"/>
                <w:sz w:val="24"/>
              </w:rPr>
              <w:t>审核准则：</w:t>
            </w:r>
            <w:r>
              <w:rPr>
                <w:rFonts w:hint="eastAsia" w:ascii="仿宋" w:hAnsi="仿宋" w:eastAsia="仿宋"/>
                <w:sz w:val="24"/>
              </w:rPr>
              <w:t>a.</w:t>
            </w:r>
            <w:r>
              <w:rPr>
                <w:rFonts w:hint="eastAsia" w:ascii="宋体" w:hAnsi="宋体"/>
              </w:rPr>
              <w:t>GB/T 24001-2016</w:t>
            </w:r>
            <w:r>
              <w:rPr>
                <w:rFonts w:hint="eastAsia" w:ascii="仿宋" w:hAnsi="仿宋" w:eastAsia="仿宋"/>
                <w:sz w:val="24"/>
              </w:rPr>
              <w:t>、</w:t>
            </w:r>
            <w:r>
              <w:rPr>
                <w:rFonts w:hint="eastAsia" w:ascii="宋体" w:hAnsi="宋体" w:eastAsia="仿宋"/>
              </w:rPr>
              <w:t>ISO45</w:t>
            </w:r>
            <w:r>
              <w:rPr>
                <w:rFonts w:hint="eastAsia" w:ascii="宋体" w:hAnsi="宋体"/>
              </w:rPr>
              <w:t>001</w:t>
            </w:r>
            <w:r>
              <w:rPr>
                <w:rFonts w:hint="eastAsia" w:ascii="宋体" w:hAnsi="宋体"/>
                <w:lang w:eastAsia="zh-CN"/>
              </w:rPr>
              <w:t>：</w:t>
            </w:r>
            <w:r>
              <w:rPr>
                <w:rFonts w:hint="eastAsia" w:ascii="宋体" w:hAnsi="宋体"/>
              </w:rPr>
              <w:t>2018</w:t>
            </w:r>
            <w:r>
              <w:rPr>
                <w:rFonts w:hint="eastAsia" w:ascii="仿宋" w:hAnsi="仿宋" w:eastAsia="仿宋"/>
                <w:sz w:val="24"/>
              </w:rPr>
              <w:t>标准</w:t>
            </w:r>
            <w:r>
              <w:rPr>
                <w:rFonts w:ascii="仿宋" w:hAnsi="仿宋" w:eastAsia="仿宋"/>
                <w:sz w:val="24"/>
              </w:rPr>
              <w:t>；</w:t>
            </w:r>
            <w:r>
              <w:rPr>
                <w:rFonts w:hint="eastAsia" w:ascii="仿宋" w:hAnsi="仿宋" w:eastAsia="仿宋"/>
                <w:sz w:val="24"/>
              </w:rPr>
              <w:t xml:space="preserve"> b.</w:t>
            </w:r>
            <w:r>
              <w:rPr>
                <w:rFonts w:ascii="仿宋" w:hAnsi="仿宋" w:eastAsia="仿宋"/>
                <w:sz w:val="24"/>
              </w:rPr>
              <w:t>本公司管理体系文件；</w:t>
            </w:r>
            <w:r>
              <w:rPr>
                <w:rFonts w:hint="eastAsia" w:ascii="仿宋" w:hAnsi="仿宋" w:eastAsia="仿宋"/>
                <w:sz w:val="24"/>
              </w:rPr>
              <w:t>c.</w:t>
            </w:r>
            <w:r>
              <w:rPr>
                <w:rFonts w:ascii="仿宋" w:hAnsi="仿宋" w:eastAsia="仿宋"/>
                <w:sz w:val="24"/>
              </w:rPr>
              <w:t>相关的法律法规；</w:t>
            </w:r>
            <w:r>
              <w:rPr>
                <w:rFonts w:hint="eastAsia" w:ascii="仿宋" w:hAnsi="仿宋" w:eastAsia="仿宋"/>
                <w:sz w:val="24"/>
              </w:rPr>
              <w:t xml:space="preserve"> d.顾客及</w:t>
            </w:r>
            <w:r>
              <w:rPr>
                <w:rFonts w:ascii="仿宋" w:hAnsi="仿宋" w:eastAsia="仿宋"/>
                <w:sz w:val="24"/>
              </w:rPr>
              <w:t>相关方要求</w:t>
            </w:r>
            <w:r>
              <w:rPr>
                <w:rFonts w:hint="eastAsia" w:ascii="仿宋" w:hAnsi="仿宋" w:eastAsia="仿宋"/>
                <w:sz w:val="24"/>
              </w:rPr>
              <w:t>等</w:t>
            </w:r>
            <w:r>
              <w:rPr>
                <w:rFonts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w:t>
            </w:r>
            <w:r>
              <w:rPr>
                <w:rFonts w:hint="eastAsia" w:ascii="宋体" w:hAnsi="宋体"/>
              </w:rPr>
              <w:t>GB/T 24001-2016</w:t>
            </w:r>
            <w:r>
              <w:rPr>
                <w:rFonts w:hint="eastAsia" w:ascii="仿宋" w:hAnsi="仿宋" w:eastAsia="仿宋"/>
                <w:sz w:val="24"/>
              </w:rPr>
              <w:t>和</w:t>
            </w:r>
            <w:r>
              <w:rPr>
                <w:rFonts w:hint="eastAsia" w:ascii="宋体" w:hAnsi="宋体" w:eastAsia="仿宋"/>
              </w:rPr>
              <w:t>ISO45</w:t>
            </w:r>
            <w:r>
              <w:rPr>
                <w:rFonts w:hint="eastAsia" w:ascii="宋体" w:hAnsi="宋体"/>
              </w:rPr>
              <w:t>001</w:t>
            </w:r>
            <w:r>
              <w:rPr>
                <w:rFonts w:hint="eastAsia" w:ascii="宋体" w:hAnsi="宋体"/>
                <w:lang w:eastAsia="zh-CN"/>
              </w:rPr>
              <w:t>：</w:t>
            </w:r>
            <w:r>
              <w:rPr>
                <w:rFonts w:hint="eastAsia" w:ascii="宋体" w:hAnsi="宋体"/>
              </w:rPr>
              <w:t>2018</w:t>
            </w:r>
            <w:r>
              <w:rPr>
                <w:rFonts w:hint="eastAsia" w:ascii="宋体" w:hAnsi="宋体" w:cs="宋体"/>
                <w:w w:val="90"/>
                <w:szCs w:val="21"/>
              </w:rPr>
              <w:t>标准体系文件管理手册、体系文件进行了全面检查，通过审核可以看出管理体系已基本进入了正常状态，但仍存在一些问题，需要把握顾客的需求及加强销售和售后服务人员的培训。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b/>
                <w:color w:val="000000"/>
                <w:sz w:val="20"/>
                <w:szCs w:val="20"/>
              </w:rPr>
            </w:pPr>
            <w:r>
              <w:rPr>
                <w:rFonts w:hint="eastAsia" w:ascii="宋体" w:hAnsi="宋体" w:cs="宋体"/>
                <w:w w:val="90"/>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建立有《管理评审控制程序》，于2019年</w:t>
            </w:r>
            <w:r>
              <w:rPr>
                <w:rFonts w:hint="eastAsia"/>
                <w:szCs w:val="21"/>
                <w:lang w:val="en-US" w:eastAsia="zh-CN"/>
              </w:rPr>
              <w:t>11</w:t>
            </w:r>
            <w:r>
              <w:rPr>
                <w:rFonts w:hint="eastAsia"/>
                <w:szCs w:val="21"/>
              </w:rPr>
              <w:t>月</w:t>
            </w:r>
            <w:r>
              <w:rPr>
                <w:rFonts w:hint="eastAsia"/>
                <w:szCs w:val="21"/>
                <w:lang w:val="en-US" w:eastAsia="zh-CN"/>
              </w:rPr>
              <w:t>25</w:t>
            </w:r>
            <w:r>
              <w:rPr>
                <w:rFonts w:hint="eastAsia"/>
                <w:szCs w:val="21"/>
              </w:rPr>
              <w:t>日就管理方针和目标，评价和审定管理体系运行的适宜性、充分性和有效性进行了评审。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具备</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z w:val="20"/>
                <w:szCs w:val="20"/>
              </w:rPr>
              <w:t>□</w:t>
            </w:r>
            <w:r>
              <w:rPr>
                <w:rFonts w:ascii="宋体" w:hAnsi="宋体"/>
                <w:b/>
                <w:color w:val="000000"/>
                <w:sz w:val="20"/>
                <w:szCs w:val="20"/>
              </w:rPr>
              <w:t>QMS /</w:t>
            </w:r>
            <w:r>
              <w:rPr>
                <w:rFonts w:hint="eastAsia" w:ascii="宋体" w:hAnsi="宋体"/>
                <w:b/>
                <w:color w:val="000000"/>
                <w:sz w:val="20"/>
                <w:szCs w:val="20"/>
              </w:rPr>
              <w:t>■</w:t>
            </w:r>
            <w:r>
              <w:rPr>
                <w:rFonts w:ascii="宋体" w:hAnsi="宋体"/>
                <w:b/>
                <w:color w:val="000000"/>
                <w:sz w:val="20"/>
                <w:szCs w:val="20"/>
              </w:rPr>
              <w:t>EMS/</w:t>
            </w:r>
            <w:r>
              <w:rPr>
                <w:rFonts w:hint="eastAsia" w:ascii="宋体" w:hAnsi="宋体"/>
                <w:b/>
                <w:color w:val="000000"/>
                <w:sz w:val="20"/>
                <w:szCs w:val="20"/>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widowControl/>
        <w:jc w:val="left"/>
        <w:rPr>
          <w:rFonts w:ascii="宋体" w:hAnsi="宋体"/>
          <w:b/>
          <w:color w:val="000000"/>
          <w:sz w:val="20"/>
          <w:szCs w:val="20"/>
        </w:rPr>
      </w:pPr>
      <w:r>
        <w:rPr>
          <w:rFonts w:ascii="宋体" w:hAnsi="宋体"/>
          <w:b/>
          <w:color w:val="000000"/>
          <w:sz w:val="20"/>
          <w:szCs w:val="20"/>
        </w:rPr>
        <w:t>QMS:</w:t>
      </w:r>
    </w:p>
    <w:p>
      <w:pPr>
        <w:widowControl/>
        <w:jc w:val="left"/>
        <w:rPr>
          <w:rFonts w:ascii="宋体" w:hAnsi="宋体"/>
          <w:b/>
          <w:color w:val="000000"/>
          <w:sz w:val="20"/>
          <w:szCs w:val="20"/>
        </w:rPr>
      </w:pPr>
      <w:r>
        <w:rPr>
          <w:rFonts w:hint="eastAsia" w:ascii="宋体" w:hAnsi="宋体"/>
          <w:b/>
          <w:color w:val="000000"/>
          <w:sz w:val="20"/>
          <w:szCs w:val="20"/>
        </w:rPr>
        <w:t>EMS:</w:t>
      </w:r>
      <w:r>
        <w:rPr>
          <w:rFonts w:hint="eastAsia" w:ascii="宋体" w:hAnsi="宋体"/>
          <w:b/>
          <w:color w:val="000000"/>
          <w:sz w:val="20"/>
          <w:szCs w:val="20"/>
          <w:u w:val="single"/>
        </w:rPr>
        <w:t xml:space="preserve"> 许可范围内的生活垃圾分类收集及其所涉及的相关环境管理活动。 </w:t>
      </w:r>
    </w:p>
    <w:p>
      <w:pPr>
        <w:widowControl/>
        <w:jc w:val="left"/>
        <w:rPr>
          <w:rFonts w:ascii="宋体" w:hAnsi="宋体"/>
          <w:b/>
          <w:color w:val="000000"/>
          <w:sz w:val="20"/>
          <w:szCs w:val="20"/>
        </w:rPr>
      </w:pPr>
      <w:r>
        <w:rPr>
          <w:rFonts w:hint="eastAsia" w:ascii="宋体" w:hAnsi="宋体"/>
          <w:b/>
          <w:color w:val="000000"/>
          <w:sz w:val="20"/>
          <w:szCs w:val="20"/>
        </w:rPr>
        <w:t>OHSMS:</w:t>
      </w:r>
      <w:r>
        <w:rPr>
          <w:rFonts w:hint="eastAsia" w:ascii="宋体" w:hAnsi="宋体"/>
          <w:b/>
          <w:color w:val="000000"/>
          <w:sz w:val="20"/>
          <w:szCs w:val="20"/>
          <w:u w:val="single"/>
        </w:rPr>
        <w:t xml:space="preserve"> 许可范围内的生活垃圾分类收集及其所涉及的相关职业健康安全管理活动。</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受审核方：重庆乐乐环保科技有限公司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vAlign w:val="top"/>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sym w:font="Wingdings 2" w:char="00A3"/>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ind w:firstLine="3755" w:firstLineChars="1700"/>
              <w:rPr>
                <w:b/>
                <w:color w:val="000000"/>
                <w:sz w:val="22"/>
                <w:szCs w:val="22"/>
              </w:rPr>
            </w:pPr>
            <w:r>
              <w:rPr>
                <w:rFonts w:hint="eastAsia"/>
                <w:b/>
                <w:color w:val="000000"/>
                <w:sz w:val="22"/>
                <w:szCs w:val="22"/>
              </w:rPr>
              <w:t>日期：2019年</w:t>
            </w:r>
            <w:r>
              <w:rPr>
                <w:rFonts w:hint="eastAsia"/>
                <w:b/>
                <w:color w:val="000000"/>
                <w:sz w:val="22"/>
                <w:szCs w:val="22"/>
                <w:lang w:val="en-US" w:eastAsia="zh-CN"/>
              </w:rPr>
              <w:t>12</w:t>
            </w:r>
            <w:r>
              <w:rPr>
                <w:rFonts w:hint="eastAsia"/>
                <w:b/>
                <w:color w:val="000000"/>
                <w:sz w:val="22"/>
                <w:szCs w:val="22"/>
              </w:rPr>
              <w:t>月</w:t>
            </w:r>
            <w:r>
              <w:rPr>
                <w:rFonts w:hint="eastAsia"/>
                <w:b/>
                <w:color w:val="000000"/>
                <w:sz w:val="22"/>
                <w:szCs w:val="22"/>
                <w:lang w:val="en-US" w:eastAsia="zh-CN"/>
              </w:rPr>
              <w:t>16</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日期：2019年</w:t>
            </w:r>
            <w:r>
              <w:rPr>
                <w:rFonts w:hint="eastAsia"/>
                <w:b/>
                <w:color w:val="000000"/>
                <w:sz w:val="22"/>
                <w:szCs w:val="22"/>
                <w:lang w:val="en-US" w:eastAsia="zh-CN"/>
              </w:rPr>
              <w:t>12</w:t>
            </w:r>
            <w:r>
              <w:rPr>
                <w:rFonts w:hint="eastAsia"/>
                <w:b/>
                <w:color w:val="000000"/>
                <w:sz w:val="22"/>
                <w:szCs w:val="22"/>
              </w:rPr>
              <w:t>月</w:t>
            </w:r>
            <w:r>
              <w:rPr>
                <w:rFonts w:hint="eastAsia"/>
                <w:b/>
                <w:color w:val="000000"/>
                <w:sz w:val="22"/>
                <w:szCs w:val="22"/>
                <w:lang w:val="en-US" w:eastAsia="zh-CN"/>
              </w:rPr>
              <w:t>16</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vAlign w:val="top"/>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 xml:space="preserve">验证人：                  </w:t>
            </w:r>
            <w:r>
              <w:rPr>
                <w:rFonts w:hint="eastAsia"/>
                <w:b/>
                <w:color w:val="000000"/>
                <w:sz w:val="22"/>
                <w:szCs w:val="22"/>
                <w:lang w:val="en-US" w:eastAsia="zh-CN"/>
              </w:rPr>
              <w:t xml:space="preserve">        </w:t>
            </w:r>
            <w:r>
              <w:rPr>
                <w:rFonts w:hint="eastAsia"/>
                <w:b/>
                <w:color w:val="000000"/>
                <w:sz w:val="22"/>
                <w:szCs w:val="22"/>
              </w:rPr>
              <w:t>日期：2019年</w:t>
            </w:r>
            <w:r>
              <w:rPr>
                <w:rFonts w:hint="eastAsia"/>
                <w:b/>
                <w:color w:val="000000"/>
                <w:sz w:val="22"/>
                <w:szCs w:val="22"/>
                <w:lang w:val="en-US" w:eastAsia="zh-CN"/>
              </w:rPr>
              <w:t>12</w:t>
            </w:r>
            <w:r>
              <w:rPr>
                <w:rFonts w:hint="eastAsia"/>
                <w:b/>
                <w:color w:val="000000"/>
                <w:sz w:val="22"/>
                <w:szCs w:val="22"/>
              </w:rPr>
              <w:t>月</w:t>
            </w:r>
            <w:r>
              <w:rPr>
                <w:rFonts w:hint="eastAsia"/>
                <w:b/>
                <w:color w:val="000000"/>
                <w:sz w:val="22"/>
                <w:szCs w:val="22"/>
                <w:lang w:val="en-US" w:eastAsia="zh-CN"/>
              </w:rPr>
              <w:t>16</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1585D6E"/>
    <w:rsid w:val="439B0FC5"/>
    <w:rsid w:val="55D203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locked/>
    <w:uiPriority w:val="99"/>
    <w:rPr>
      <w:rFonts w:ascii="Calibri" w:hAnsi="Calibri" w:eastAsia="宋体" w:cs="Times New Roman"/>
      <w:sz w:val="18"/>
      <w:szCs w:val="18"/>
    </w:rPr>
  </w:style>
  <w:style w:type="character" w:customStyle="1" w:styleId="12">
    <w:name w:val="副标题 字符"/>
    <w:link w:val="5"/>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Dell</cp:lastModifiedBy>
  <dcterms:modified xsi:type="dcterms:W3CDTF">2019-12-18T02:42:56Z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