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0288-2022-QEO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江西光正金属设备集团有限公司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91360982054429275P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Q:43,E:43,O:43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江西光正金属设备集团有限公司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专用架体的设计、制造、喷塑、售后（培训、维保）、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的销售、售后（培训、维保）；防盗门（档案室专用）、防盗窗（档案室专用）、窗帘的销售；档案室环境控制系统、数字化管理系统、恒温恒湿控制系统、专用架体（系统）、智慧档案馆系统的开发。</w:t>
            </w:r>
          </w:p>
          <w:p>
            <w:pPr>
              <w:snapToGrid w:val="0"/>
              <w:spacing w:line="0" w:lineRule="atLeast"/>
              <w:jc w:val="left"/>
              <w:rPr>
                <w:rFonts w:hint="eastAsia" w:eastAsia="宋体"/>
                <w:sz w:val="22"/>
                <w:szCs w:val="22"/>
                <w:lang w:eastAsia="zh-CN"/>
              </w:rPr>
            </w:pPr>
            <w:r>
              <w:rPr>
                <w:sz w:val="22"/>
                <w:szCs w:val="22"/>
              </w:rPr>
              <w:t>E：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专用架体的设计、制造、喷塑、售后（培训、维保）、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的销售、售后（培训、维保）；防盗门（档案室专用）、防盗窗（档案室专用）、窗帘的销售；档案室环境控制系统、数字化管理系统、恒温恒湿控制系统、专用架体（系统）、智慧档案馆系统的开发所涉及场所的相关环境管理活动</w:t>
            </w:r>
            <w:r>
              <w:rPr>
                <w:rFonts w:hint="eastAsia"/>
                <w:sz w:val="22"/>
                <w:szCs w:val="22"/>
                <w:lang w:eastAsia="zh-CN"/>
              </w:rPr>
              <w:t>。</w:t>
            </w:r>
          </w:p>
          <w:p>
            <w:pPr>
              <w:snapToGrid w:val="0"/>
              <w:spacing w:line="0" w:lineRule="atLeast"/>
              <w:jc w:val="left"/>
              <w:rPr>
                <w:rFonts w:hint="eastAsia" w:eastAsia="宋体"/>
                <w:sz w:val="22"/>
                <w:szCs w:val="22"/>
                <w:lang w:eastAsia="zh-CN"/>
              </w:rPr>
            </w:pPr>
            <w:r>
              <w:rPr>
                <w:sz w:val="22"/>
                <w:szCs w:val="22"/>
              </w:rPr>
              <w:t>O：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专用架体的设计、制造、喷塑、售后（培训、维保）、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的销售、售后（培训、维保）；防盗门（档案室专用）、防盗窗（档案室专用）、窗帘的销售；档案室环境控制系统、数字化管理系统、恒温恒湿控制系统、专用架体（系统）、智慧档案馆系统的开发所涉及场所的相关职业健康安全管理活动</w:t>
            </w:r>
            <w:bookmarkEnd w:id="18"/>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江西省樟树市城北工业园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江西省樟树市城北工业园</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Guangzheng Metal Equipment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Dense shelves (Intelligent dense shelves (cabinets), manual dense shelves (cabinets), box type dense shelves (cabinets), cabinet type dense shelves (cabinets), wood grain transfer dense shelves (cabinets), trackless dense shelves (cabinets), waterproof and spray proof dense shelves (cabinets), welded transmission dense shelves (cabinets), newspaper dense shelves (cabinets), oil painting dense shelves (cabinets), cultural relics archives dense shelves (cabinets), heavy dense shelves (cabinets) collection shelves (cabinets)) Bookshelves (steel and wood bookshelves, steel bookshelves, bookcases, magazine bookshelves (cabinets), cultural relics shelves (cabinets), intelligent bookshelves (cabinets), intelligent physical evidence shelves (cabinets), cultural relics storage shelves (cabinets), mobile medical records storage shelves, periodical shelves (cabinets), book ladders, book carts, book stands), shelves (Intelligent shelves (cabinets), medicine shelves (cabinets), museum collection shelves (cabinets) Intelligent storage rack (cabinet) (fingerprint storage cabinet, bar code storage cabinet, face recognition storage cabinet), newspaper rack (cabinet)), filing cabinet (antimagnetic cabinet, seal file cabinet, catalog cabinet, intelligent file cabinet, optical moisture-proof cabinet, automatic layer selection cabinet), school school equipment (apartment bed, desk and chair), security category (vault door, intelligent vault, intelligent warehouse (door) cabinet, bullet cabinet, bullet cabinet, door of bullet cabinet), office furniture (reading desk (chair) Design, manufacturing, plastic spraying, after-sales (training and maintenance), sales, installation services and export of special racks (filing cabinets, apartment beds), laboratory equipment (instrument racks, cabinets, archives sterilization and finishing racks, archives purification and finishing tables); Manufacturing and sales of removable blasting equipment warehouse, book equipment, automatic safe deposit box for bank, special safe for guns and ammunition, and special safe for guns and ammunition; Sales and after-sales (training and maintenance) of smart archives system equipment (smoke sensing alarm, dehumidification, humidification, purification and disinfection integrated machine, lightning protector, intelligent temperature and humidity sensor, water leakage sensor, network cabinet, power control cabinet, smart power safety monitor, monitoring equipment and access control), educational lighting lamps (classroom eye protection lamp, LED intelligent classroom lamp, three primary color square classroom lamp and blackboard lamp); Sales of anti-theft doors (special for archives), anti-theft windows (special for archives) and curtains; Development of archives environmental control system, digital management system, constant temperature and humidity control system, special frame (system) and smart archives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Dense shelves (Intelligent dense shelves (cabinets), manual dense shelves (cabinets), box type dense shelves (cabinets), cabinet type dense shelves (cabinets), wood grain transfer dense shelves (cabinets), trackless dense shelves (cabinets), waterproof and spray proof dense shelves (cabinets), welded transmission dense shelves (cabinets), newspaper dense shelves (cabinets), oil painting dense shelves (cabinets), cultural relics archives dense shelves (cabinets), heavy dense shelves (cabinets) collection shelves (cabinets)) Bookshelves (steel and wood bookshelves, steel bookshelves, bookcases, magazine bookshelves (cabinets), cultural relics shelves (cabinets), intelligent bookshelves (cabinets), intelligent physical evidence shelves (cabinets), cultural relics storage shelves (cabinets), mobile medical records storage shelves, periodical shelves (cabinets), book ladders, book carts, book stands), shelves (Intelligent shelves (cabinets), medicine shelves (cabinets), museum collection shelves (cabinets) Intelligent storage rack (cabinet) (fingerprint storage cabinet, bar code storage cabinet, face recognition storage cabinet), newspaper rack (cabinet)), filing cabinet (antimagnetic cabinet, seal file cabinet, catalog cabinet, intelligent file cabinet, optical moisture-proof cabinet, automatic layer selection cabinet), school school equipment (apartment bed, desk and chair), security category (vault door, intelligent vault, intelligent warehouse (door) cabinet, bullet cabinet, bullet cabinet, door of bullet cabinet), office furniture (reading desk (chair) Design, manufacturing, plastic spraying, after-sales (training and maintenance), sales, installation services and export of special racks (filing cabinets, apartment beds), laboratory equipment (instrument racks, cabinets, archives sterilization and finishing racks, archives purification and finishing tables); Manufacturing and sales of removable blasting equipment warehouse, book equipment, automatic safe deposit box for bank, special safe for guns and ammunition, and special safe for guns and ammunition; Sales and after-sales (training and maintenance) of smart archives system equipment (smoke sensing alarm, dehumidification, humidification, purification and disinfection integrated machine, lightning protector, intelligent temperature and humidity sensor, water leakage sensor, network cabinet, power control cabinet, smart power safety monitor, monitoring equipment and access control), educational lighting lamps (classroom eye protection lamp, LED intelligent classroom lamp, three primary color square classroom lamp and blackboard lamp); Sales of anti-theft doors (special for archives), anti-theft windows (special for archives) and curtains; Development of archives environmental control system, digital management system, constant temperature and humidity control system, special frame (system) and smart archives system</w:t>
            </w:r>
            <w:r>
              <w:rPr>
                <w:rFonts w:hint="eastAsia"/>
                <w:sz w:val="22"/>
                <w:szCs w:val="22"/>
                <w:lang w:val="en-US" w:eastAsia="zh-CN"/>
              </w:rPr>
              <w:t xml:space="preserve"> </w:t>
            </w:r>
            <w:r>
              <w:rPr>
                <w:rFonts w:hint="eastAsia"/>
                <w:sz w:val="22"/>
                <w:szCs w:val="22"/>
              </w:rPr>
              <w:t>Relevant environmental management activities of the sites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Chengbei Industrial Park, Zhangshu City, Jiangxi</w:t>
            </w:r>
            <w:bookmarkStart w:id="21" w:name="_GoBack"/>
            <w:bookmarkEnd w:id="21"/>
            <w:r>
              <w:rPr>
                <w:rFonts w:hint="eastAsia" w:cs="Arial"/>
                <w:b/>
                <w:bCs/>
                <w:sz w:val="22"/>
                <w:szCs w:val="16"/>
              </w:rPr>
              <w:t xml:space="preserve">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default" w:eastAsia="宋体"/>
                <w:sz w:val="22"/>
                <w:szCs w:val="22"/>
                <w:lang w:val="en-US" w:eastAsia="zh-CN"/>
              </w:rPr>
            </w:pPr>
            <w:r>
              <w:rPr>
                <w:rFonts w:hint="eastAsia"/>
                <w:sz w:val="22"/>
                <w:szCs w:val="22"/>
              </w:rPr>
              <w:t>Dense shelves (Intelligent dense shelves (cabinets), manual dense shelves (cabinets), box type dense shelves (cabinets), cabinet type dense shelves (cabinets), wood grain transfer dense shelves (cabinets), trackless dense shelves (cabinets), waterproof and spray proof dense shelves (cabinets), welded transmission dense shelves (cabinets), newspaper dense shelves (cabinets), oil painting dense shelves (cabinets), cultural relics archives dense shelves (cabinets), heavy dense shelves (cabinets) collection shelves (cabinets)) Bookshelves (steel and wood bookshelves, steel bookshelves, bookcases, magazine bookshelves (cabinets), cultural relics shelves (cabinets), intelligent bookshelves (cabinets), intelligent physical evidence shelves (cabinets), cultural relics storage shelves (cabinets), mobile medical records storage shelves, periodical shelves (cabinets), book ladders, book carts, book stands), shelves (Intelligent shelves (cabinets), medicine shelves (cabinets), museum collection shelves (cabinets) Intelligent storage rack (cabinet) (fingerprint storage cabinet, bar code storage cabinet, face recognition storage cabinet), newspaper rack (cabinet)), filing cabinet (antimagnetic cabinet, seal file cabinet, catalog cabinet, intelligent file cabinet, optical moisture-proof cabinet, automatic layer selection cabinet), school school equipment (apartment bed, desk and chair), security category (vault door, intelligent vault, intelligent warehouse (door) cabinet, bullet cabinet, bullet cabinet, door of bullet cabinet), office furniture (reading desk (chair) Design, manufacturing, plastic spraying, after-sales (training and maintenance), sales, installation services and export of special racks (filing cabinets, apartment beds), laboratory equipment (instrument racks, cabinets, archives sterilization and finishing racks, archives purification and finishing tables); Manufacturing and sales of removable blasting equipment warehouse, book equipment, automatic safe deposit box for bank, special safe for guns and ammunition, and special safe for guns and ammunition; Sales and after-sales (training and maintenance) of smart archives system equipment (smoke sensing alarm, dehumidification, humidification, purification and disinfection integrated machine, lightning protector, intelligent temperature and humidity sensor, water leakage sensor, network cabinet, power control cabinet, smart power safety monitor, monitoring equipment and access control), educational lighting lamps (classroom eye protection lamp, LED intelligent classroom lamp, three primary color square classroom lamp and blackboard lamp); Sales of anti-theft doors (special for archives), anti-theft windows (special for archives) and curtains; Development of archives environmental control system, digital management system, constant temperature and humidity control system, special frame (system) and smart archives system</w:t>
            </w:r>
            <w:r>
              <w:rPr>
                <w:rFonts w:hint="eastAsia"/>
                <w:sz w:val="22"/>
                <w:szCs w:val="22"/>
                <w:lang w:val="en-US" w:eastAsia="zh-CN"/>
              </w:rPr>
              <w:t xml:space="preserve"> Relevant occupational health and safety management activities in the places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Chengbei Industrial Park, Zhangshu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宋体" w:hAnsi="宋体"/>
                <w:szCs w:val="22"/>
              </w:rPr>
              <w:drawing>
                <wp:anchor distT="0" distB="0" distL="114300" distR="114300" simplePos="0" relativeHeight="251660288" behindDoc="0" locked="0" layoutInCell="1" allowOverlap="1">
                  <wp:simplePos x="0" y="0"/>
                  <wp:positionH relativeFrom="column">
                    <wp:posOffset>148590</wp:posOffset>
                  </wp:positionH>
                  <wp:positionV relativeFrom="paragraph">
                    <wp:posOffset>104140</wp:posOffset>
                  </wp:positionV>
                  <wp:extent cx="542925" cy="32385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收集资料\文波-2.png"/>
                          <pic:cNvPicPr>
                            <a:picLocks noChangeAspect="1" noChangeArrowheads="1"/>
                          </pic:cNvPicPr>
                        </pic:nvPicPr>
                        <pic:blipFill>
                          <a:blip r:embed="rId5" cstate="print"/>
                          <a:srcRect/>
                          <a:stretch>
                            <a:fillRect/>
                          </a:stretch>
                        </pic:blipFill>
                        <pic:spPr>
                          <a:xfrm>
                            <a:off x="0" y="0"/>
                            <a:ext cx="542925" cy="323850"/>
                          </a:xfrm>
                          <a:prstGeom prst="rect">
                            <a:avLst/>
                          </a:prstGeom>
                          <a:noFill/>
                          <a:ln w="9525">
                            <a:noFill/>
                            <a:miter lim="800000"/>
                            <a:headEnd/>
                            <a:tailEnd/>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QyOTY4NjNjYzkwOGU1ODVmNWE0ZWNiODM2MjJkMGIifQ=="/>
  </w:docVars>
  <w:rsids>
    <w:rsidRoot w:val="005201A6"/>
    <w:rsid w:val="005201A6"/>
    <w:rsid w:val="00BB7807"/>
    <w:rsid w:val="00CC3425"/>
    <w:rsid w:val="3C700D7D"/>
    <w:rsid w:val="42241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3917</Words>
  <Characters>11135</Characters>
  <Lines>474</Lines>
  <Paragraphs>365</Paragraphs>
  <TotalTime>2</TotalTime>
  <ScaleCrop>false</ScaleCrop>
  <LinksUpToDate>false</LinksUpToDate>
  <CharactersWithSpaces>12355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2022-05-19T00:58:43Z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