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0407-2022-QEO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成都澳力鑫新型建材有限公司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2022年05月05日 上午至2022年05月05日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四川省成都市崇州市经济开发区世纪大道759号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Q:16.02.04</w:t>
            </w:r>
          </w:p>
          <w:p>
            <w:pPr>
              <w:spacing w:line="240" w:lineRule="exact"/>
              <w:jc w:val="center"/>
              <w:rPr>
                <w:b/>
                <w:color w:val="000000"/>
                <w:szCs w:val="21"/>
              </w:rPr>
            </w:pPr>
            <w:r>
              <w:rPr>
                <w:b/>
                <w:color w:val="000000"/>
                <w:szCs w:val="21"/>
              </w:rPr>
              <w:t>E:16.02.04</w:t>
            </w:r>
          </w:p>
          <w:p>
            <w:pPr>
              <w:spacing w:line="240" w:lineRule="exact"/>
              <w:jc w:val="center"/>
              <w:rPr>
                <w:b/>
                <w:color w:val="000000"/>
                <w:szCs w:val="21"/>
              </w:rPr>
            </w:pPr>
            <w:r>
              <w:rPr>
                <w:b/>
                <w:color w:val="000000"/>
                <w:szCs w:val="21"/>
              </w:rPr>
              <w:t>O:16.02.04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成都澳力鑫新型建材有限公司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四川省成都市崇州市经济开发区世纪大道759号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611230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四川省成都市崇州市经济开发区世纪大道759号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611230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方芊</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18123397686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吕攀</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阳廷静</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预拌砂浆的生产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eastAsia="宋体"/>
                <w:color w:val="000000"/>
                <w:szCs w:val="21"/>
                <w:lang w:eastAsia="zh-CN"/>
              </w:rPr>
            </w:pPr>
            <w:bookmarkStart w:id="37" w:name="_GoBack"/>
            <w:bookmarkEnd w:id="37"/>
            <w:r>
              <w:rPr>
                <w:rFonts w:hint="eastAsia"/>
                <w:b/>
                <w:sz w:val="20"/>
                <w:lang w:eastAsia="zh-CN"/>
              </w:rPr>
              <w:t>配料——混合搅拌——抽样检验——包装、入库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预拌砂浆的生产</w:t>
            </w:r>
          </w:p>
        </w:tc>
        <w:tc>
          <w:tcPr>
            <w:tcW w:w="2006" w:type="dxa"/>
            <w:gridSpan w:val="3"/>
            <w:vAlign w:val="center"/>
          </w:tcPr>
          <w:p>
            <w:pPr>
              <w:rPr>
                <w:rFonts w:ascii="宋体" w:hAnsi="宋体"/>
                <w:b/>
                <w:color w:val="000000"/>
                <w:szCs w:val="21"/>
              </w:rPr>
            </w:pPr>
            <w:r>
              <w:t>Q：16.02.04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预拌砂浆的生产所涉及的相关环境管理活动</w:t>
            </w:r>
          </w:p>
        </w:tc>
        <w:tc>
          <w:tcPr>
            <w:tcW w:w="2006" w:type="dxa"/>
            <w:gridSpan w:val="3"/>
            <w:vAlign w:val="center"/>
          </w:tcPr>
          <w:p>
            <w:pPr>
              <w:spacing w:line="400" w:lineRule="exact"/>
              <w:rPr>
                <w:rFonts w:ascii="宋体" w:hAnsi="宋体"/>
                <w:b/>
                <w:color w:val="000000"/>
                <w:szCs w:val="21"/>
              </w:rPr>
            </w:pPr>
            <w:r>
              <w:rPr>
                <w:rFonts w:hint="eastAsia"/>
                <w:lang w:val="en-US" w:eastAsia="zh-CN"/>
              </w:rPr>
              <w:t>E</w:t>
            </w:r>
            <w:r>
              <w:t>：16.02.04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预拌砂浆的生产所涉及的相关职业健康安全管理活动</w:t>
            </w:r>
          </w:p>
        </w:tc>
        <w:tc>
          <w:tcPr>
            <w:tcW w:w="2006" w:type="dxa"/>
            <w:gridSpan w:val="3"/>
            <w:vAlign w:val="center"/>
          </w:tcPr>
          <w:p>
            <w:pPr>
              <w:spacing w:line="400" w:lineRule="exact"/>
              <w:rPr>
                <w:rFonts w:ascii="宋体" w:hAnsi="宋体"/>
                <w:b/>
                <w:color w:val="000000"/>
                <w:szCs w:val="21"/>
              </w:rPr>
            </w:pPr>
            <w:r>
              <w:rPr>
                <w:rFonts w:hint="eastAsia"/>
                <w:lang w:val="en-US" w:eastAsia="zh-CN"/>
              </w:rPr>
              <w:t>O</w:t>
            </w:r>
            <w:r>
              <w:t>：16.02.04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73"/>
        <w:gridCol w:w="169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7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69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成都澳力鑫新型建材有限公司</w:t>
            </w:r>
            <w:r>
              <w:rPr>
                <w:rFonts w:hint="eastAsia"/>
                <w:sz w:val="21"/>
                <w:szCs w:val="21"/>
                <w:lang w:val="en-US" w:eastAsia="zh-CN"/>
              </w:rPr>
              <w:t>/</w:t>
            </w:r>
            <w:r>
              <w:rPr>
                <w:sz w:val="21"/>
                <w:szCs w:val="21"/>
              </w:rPr>
              <w:t>四川省成都市崇州市经济开发区世纪大道759号</w:t>
            </w:r>
          </w:p>
        </w:tc>
        <w:tc>
          <w:tcPr>
            <w:tcW w:w="2267" w:type="dxa"/>
          </w:tcPr>
          <w:p>
            <w:pPr>
              <w:spacing w:before="40" w:after="40"/>
              <w:rPr>
                <w:rFonts w:eastAsia="黑体"/>
                <w:szCs w:val="21"/>
                <w:lang w:val="de-DE" w:eastAsia="ja-JP"/>
              </w:rPr>
            </w:pPr>
            <w:r>
              <w:rPr>
                <w:sz w:val="21"/>
                <w:szCs w:val="21"/>
              </w:rPr>
              <w:t>四川省成都市崇州市经济开发区世纪大道759号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50</w:t>
            </w:r>
          </w:p>
        </w:tc>
        <w:tc>
          <w:tcPr>
            <w:tcW w:w="1773" w:type="dxa"/>
            <w:vAlign w:val="center"/>
          </w:tcPr>
          <w:p>
            <w:pPr>
              <w:pStyle w:val="19"/>
              <w:rPr>
                <w:rFonts w:eastAsia="黑体" w:cs="Arial"/>
                <w:sz w:val="21"/>
                <w:szCs w:val="21"/>
                <w:lang w:val="en-US" w:eastAsia="ja-JP"/>
              </w:rPr>
            </w:pPr>
            <w:r>
              <w:t>预拌砂浆的生产</w:t>
            </w:r>
          </w:p>
        </w:tc>
        <w:tc>
          <w:tcPr>
            <w:tcW w:w="1699" w:type="dxa"/>
            <w:vAlign w:val="center"/>
          </w:tcPr>
          <w:p>
            <w:pPr>
              <w:spacing w:before="40" w:after="40"/>
              <w:rPr>
                <w:rFonts w:hint="eastAsia" w:eastAsia="宋体"/>
                <w:szCs w:val="21"/>
                <w:lang w:eastAsia="zh-CN"/>
              </w:rPr>
            </w:pPr>
            <w:r>
              <w:rPr>
                <w:rFonts w:hint="eastAsia" w:ascii="Times New Roman" w:hAnsi="Times New Roman" w:eastAsia="Times New Roman" w:cs="Times New Roman"/>
                <w:kern w:val="2"/>
                <w:sz w:val="20"/>
                <w:szCs w:val="20"/>
                <w:lang w:val="en-GB" w:eastAsia="de-DE" w:bidi="ar-SA"/>
              </w:rPr>
              <w:t>GB/T19001-2016GB/T24001-2016GB/T45001-2020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黑体" w:hAnsi="黑体" w:eastAsia="黑体" w:cs="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73" w:type="dxa"/>
            <w:vAlign w:val="center"/>
          </w:tcPr>
          <w:p>
            <w:pPr>
              <w:spacing w:before="40" w:after="40"/>
              <w:rPr>
                <w:rFonts w:eastAsia="黑体"/>
                <w:szCs w:val="21"/>
                <w:lang w:eastAsia="ja-JP"/>
              </w:rPr>
            </w:pPr>
          </w:p>
        </w:tc>
        <w:tc>
          <w:tcPr>
            <w:tcW w:w="169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73" w:type="dxa"/>
            <w:vAlign w:val="center"/>
          </w:tcPr>
          <w:p>
            <w:pPr>
              <w:spacing w:before="40" w:after="40"/>
              <w:rPr>
                <w:rFonts w:eastAsia="黑体"/>
                <w:szCs w:val="21"/>
                <w:lang w:eastAsia="ja-JP"/>
              </w:rPr>
            </w:pPr>
          </w:p>
        </w:tc>
        <w:tc>
          <w:tcPr>
            <w:tcW w:w="169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73" w:type="dxa"/>
            <w:vAlign w:val="center"/>
          </w:tcPr>
          <w:p>
            <w:pPr>
              <w:spacing w:before="40" w:after="40"/>
              <w:rPr>
                <w:rFonts w:eastAsia="黑体"/>
                <w:szCs w:val="21"/>
                <w:lang w:eastAsia="ja-JP"/>
              </w:rPr>
            </w:pPr>
          </w:p>
        </w:tc>
        <w:tc>
          <w:tcPr>
            <w:tcW w:w="169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73" w:type="dxa"/>
            <w:vAlign w:val="center"/>
          </w:tcPr>
          <w:p>
            <w:pPr>
              <w:spacing w:before="40" w:after="40"/>
              <w:rPr>
                <w:rFonts w:eastAsia="黑体"/>
                <w:szCs w:val="21"/>
                <w:lang w:eastAsia="ja-JP"/>
              </w:rPr>
            </w:pPr>
          </w:p>
        </w:tc>
        <w:tc>
          <w:tcPr>
            <w:tcW w:w="169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11.已根据策划和标准要求于2022年4月12日由有能力的人实施了内部审核，覆盖所有场所、部门和过程，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12.已根据策划于2022年4月17日完成管理评审，包括所有标准要求的输入和输出,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配料、搅拌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themeColor="text1"/>
                <w:szCs w:val="21"/>
              </w:rPr>
              <w:t>初步定于</w:t>
            </w:r>
            <w:bookmarkStart w:id="35" w:name="二阶段审核日期"/>
            <w:r>
              <w:rPr>
                <w:rFonts w:hint="eastAsia" w:ascii="宋体"/>
                <w:b/>
                <w:color w:val="000000" w:themeColor="text1"/>
                <w:szCs w:val="21"/>
              </w:rPr>
              <w:t>2022-05-0</w:t>
            </w:r>
            <w:bookmarkEnd w:id="35"/>
            <w:r>
              <w:rPr>
                <w:rFonts w:hint="eastAsia" w:ascii="宋体"/>
                <w:b/>
                <w:color w:val="000000" w:themeColor="text1"/>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预拌砂浆的生产</w:t>
            </w:r>
          </w:p>
        </w:tc>
        <w:tc>
          <w:tcPr>
            <w:tcW w:w="1541" w:type="dxa"/>
            <w:vAlign w:val="center"/>
          </w:tcPr>
          <w:p>
            <w:bookmarkStart w:id="36" w:name="专业代码"/>
            <w:r>
              <w:t>Q：16.02.04</w:t>
            </w:r>
          </w:p>
          <w:bookmarkEnd w:id="36"/>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预拌砂浆的生产所涉及的相关环境管理活动</w:t>
            </w:r>
          </w:p>
        </w:tc>
        <w:tc>
          <w:tcPr>
            <w:tcW w:w="1541" w:type="dxa"/>
            <w:vAlign w:val="center"/>
          </w:tcPr>
          <w:p>
            <w:pPr>
              <w:rPr>
                <w:rFonts w:ascii="宋体" w:hAnsi="宋体"/>
                <w:b/>
                <w:color w:val="000000"/>
                <w:szCs w:val="21"/>
              </w:rPr>
            </w:pPr>
            <w:r>
              <w:t>E：16.02.04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预拌砂浆的生产所涉及的相关职业健康安全管理活动</w:t>
            </w:r>
          </w:p>
        </w:tc>
        <w:tc>
          <w:tcPr>
            <w:tcW w:w="1541" w:type="dxa"/>
            <w:vAlign w:val="center"/>
          </w:tcPr>
          <w:p>
            <w:pPr>
              <w:spacing w:line="400" w:lineRule="exact"/>
              <w:rPr>
                <w:rFonts w:ascii="宋体" w:hAnsi="宋体"/>
                <w:b/>
                <w:color w:val="000000"/>
                <w:szCs w:val="21"/>
              </w:rPr>
            </w:pPr>
            <w:r>
              <w:t>O：16.02.04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3360" behindDoc="0" locked="0" layoutInCell="1" allowOverlap="1">
            <wp:simplePos x="0" y="0"/>
            <wp:positionH relativeFrom="column">
              <wp:posOffset>4884420</wp:posOffset>
            </wp:positionH>
            <wp:positionV relativeFrom="paragraph">
              <wp:posOffset>327660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1761490</wp:posOffset>
            </wp:positionH>
            <wp:positionV relativeFrom="paragraph">
              <wp:posOffset>325120</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7"/>
                    <a:stretch>
                      <a:fillRect/>
                    </a:stretch>
                  </pic:blipFill>
                  <pic:spPr>
                    <a:xfrm>
                      <a:off x="0" y="0"/>
                      <a:ext cx="815340" cy="403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760" w:firstLineChars="800"/>
              <w:jc w:val="left"/>
              <w:rPr>
                <w:rFonts w:ascii="宋体" w:hAnsi="宋体"/>
                <w:b/>
                <w:bCs/>
                <w:color w:val="000000"/>
                <w:spacing w:val="-8"/>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679450</wp:posOffset>
                  </wp:positionH>
                  <wp:positionV relativeFrom="paragraph">
                    <wp:posOffset>195580</wp:posOffset>
                  </wp:positionV>
                  <wp:extent cx="815340" cy="403860"/>
                  <wp:effectExtent l="0" t="0" r="3810" b="1524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7"/>
                          <a:stretch>
                            <a:fillRect/>
                          </a:stretch>
                        </pic:blipFill>
                        <pic:spPr>
                          <a:xfrm>
                            <a:off x="0" y="0"/>
                            <a:ext cx="815340" cy="40386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r>
              <w:rPr>
                <w:rFonts w:hint="eastAsia"/>
                <w:b/>
                <w:color w:val="000000"/>
                <w:szCs w:val="21"/>
                <w:lang w:eastAsia="zh-CN"/>
              </w:rPr>
              <w:t>：</w:t>
            </w:r>
            <w:r>
              <w:rPr>
                <w:rFonts w:hint="eastAsia"/>
                <w:color w:val="000000"/>
                <w:sz w:val="24"/>
                <w:szCs w:val="24"/>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504825</wp:posOffset>
                  </wp:positionH>
                  <wp:positionV relativeFrom="paragraph">
                    <wp:posOffset>91440</wp:posOffset>
                  </wp:positionV>
                  <wp:extent cx="815340" cy="403860"/>
                  <wp:effectExtent l="0" t="0" r="3810" b="15240"/>
                  <wp:wrapNone/>
                  <wp:docPr id="3" name="图片 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d760dbe16eb6185a5a45f762861822"/>
                          <pic:cNvPicPr>
                            <a:picLocks noChangeAspect="1"/>
                          </pic:cNvPicPr>
                        </pic:nvPicPr>
                        <pic:blipFill>
                          <a:blip r:embed="rId7"/>
                          <a:stretch>
                            <a:fillRect/>
                          </a:stretch>
                        </pic:blipFill>
                        <pic:spPr>
                          <a:xfrm>
                            <a:off x="0" y="0"/>
                            <a:ext cx="815340" cy="40386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jFmNDE1OTA0NjMzMTc3MjRkMDFmMDVlMjFhNzg3YjQifQ=="/>
  </w:docVars>
  <w:rsids>
    <w:rsidRoot w:val="00000000"/>
    <w:rsid w:val="00BC76EF"/>
    <w:rsid w:val="086C1BEB"/>
    <w:rsid w:val="0A8C52F7"/>
    <w:rsid w:val="0B6F5085"/>
    <w:rsid w:val="0CAF1744"/>
    <w:rsid w:val="0F447672"/>
    <w:rsid w:val="0FDC3764"/>
    <w:rsid w:val="18062DF3"/>
    <w:rsid w:val="18CE1D95"/>
    <w:rsid w:val="23DC6741"/>
    <w:rsid w:val="23F0560A"/>
    <w:rsid w:val="25B049BE"/>
    <w:rsid w:val="26AD2521"/>
    <w:rsid w:val="26E320E4"/>
    <w:rsid w:val="29244E2D"/>
    <w:rsid w:val="2A1B7292"/>
    <w:rsid w:val="2AFD71FE"/>
    <w:rsid w:val="2B290B60"/>
    <w:rsid w:val="2D2500D2"/>
    <w:rsid w:val="2D746964"/>
    <w:rsid w:val="30B7742D"/>
    <w:rsid w:val="39ED01CA"/>
    <w:rsid w:val="3A560D23"/>
    <w:rsid w:val="3F1B2D54"/>
    <w:rsid w:val="40DD473F"/>
    <w:rsid w:val="434D2461"/>
    <w:rsid w:val="43521CDD"/>
    <w:rsid w:val="43F81C45"/>
    <w:rsid w:val="44E777F4"/>
    <w:rsid w:val="45996EA1"/>
    <w:rsid w:val="46404A46"/>
    <w:rsid w:val="482A72B3"/>
    <w:rsid w:val="4A1B519B"/>
    <w:rsid w:val="4F2B4D5D"/>
    <w:rsid w:val="508B0928"/>
    <w:rsid w:val="60296278"/>
    <w:rsid w:val="60C413D5"/>
    <w:rsid w:val="63240F67"/>
    <w:rsid w:val="636B30BC"/>
    <w:rsid w:val="6C5850C7"/>
    <w:rsid w:val="6D0A4613"/>
    <w:rsid w:val="73907576"/>
    <w:rsid w:val="74424693"/>
    <w:rsid w:val="770B772C"/>
    <w:rsid w:val="78751A8D"/>
    <w:rsid w:val="78A65BCA"/>
    <w:rsid w:val="793140ED"/>
    <w:rsid w:val="79AB4269"/>
    <w:rsid w:val="7AED10D1"/>
    <w:rsid w:val="7B191280"/>
    <w:rsid w:val="7F686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5446</Words>
  <Characters>6173</Characters>
  <Lines>67</Lines>
  <Paragraphs>18</Paragraphs>
  <TotalTime>4</TotalTime>
  <ScaleCrop>false</ScaleCrop>
  <LinksUpToDate>false</LinksUpToDate>
  <CharactersWithSpaces>6285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2022-05-10T06:43:10Z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