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30"/>
          <w:szCs w:val="30"/>
        </w:rPr>
        <w:t>专业培训记录</w:t>
      </w:r>
    </w:p>
    <w:p>
      <w:pPr>
        <w:rPr>
          <w:b/>
          <w:color w:val="auto"/>
          <w:sz w:val="22"/>
          <w:szCs w:val="22"/>
        </w:rPr>
      </w:pPr>
      <w:bookmarkStart w:id="0" w:name="Q勾选"/>
      <w:r>
        <w:rPr>
          <w:rFonts w:hint="eastAsia"/>
          <w:b/>
          <w:color w:val="auto"/>
          <w:sz w:val="22"/>
          <w:szCs w:val="22"/>
        </w:rPr>
        <w:t>■</w:t>
      </w:r>
      <w:bookmarkEnd w:id="0"/>
      <w:r>
        <w:rPr>
          <w:b/>
          <w:color w:val="auto"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color w:val="auto"/>
          <w:sz w:val="22"/>
          <w:szCs w:val="22"/>
        </w:rPr>
        <w:t>□</w:t>
      </w:r>
      <w:bookmarkEnd w:id="1"/>
      <w:r>
        <w:rPr>
          <w:rFonts w:hint="eastAsia"/>
          <w:b/>
          <w:color w:val="auto"/>
          <w:sz w:val="22"/>
          <w:szCs w:val="22"/>
        </w:rPr>
        <w:t>5</w:t>
      </w:r>
      <w:r>
        <w:rPr>
          <w:b/>
          <w:color w:val="auto"/>
          <w:sz w:val="22"/>
          <w:szCs w:val="22"/>
        </w:rPr>
        <w:t>0430</w:t>
      </w:r>
    </w:p>
    <w:p>
      <w:pPr>
        <w:rPr>
          <w:b/>
          <w:color w:val="auto"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396"/>
        <w:gridCol w:w="151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bookmarkStart w:id="2" w:name="组织名称"/>
            <w:r>
              <w:rPr>
                <w:color w:val="auto"/>
                <w:sz w:val="21"/>
                <w:szCs w:val="21"/>
              </w:rPr>
              <w:t>成都澳力鑫新型建材有限公司</w:t>
            </w:r>
            <w:bookmarkEnd w:id="2"/>
          </w:p>
        </w:tc>
        <w:tc>
          <w:tcPr>
            <w:tcW w:w="158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</w:rPr>
              <w:t>专业小类</w:t>
            </w:r>
            <w:r>
              <w:rPr>
                <w:b/>
                <w:color w:val="auto"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</w:rPr>
              <w:t>项目代码</w:t>
            </w:r>
          </w:p>
        </w:tc>
        <w:tc>
          <w:tcPr>
            <w:tcW w:w="1511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Q：16.02.04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color w:val="auto"/>
                <w:sz w:val="20"/>
                <w:lang w:eastAsia="zh-CN"/>
              </w:rPr>
            </w:pPr>
            <w:r>
              <w:rPr>
                <w:rFonts w:hint="eastAsia"/>
                <w:b/>
                <w:color w:val="auto"/>
                <w:sz w:val="20"/>
                <w:lang w:eastAsia="zh-CN"/>
              </w:rPr>
              <w:t>杨珍全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Q：16.02.04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</w:rPr>
              <w:t>培训地点</w:t>
            </w:r>
          </w:p>
        </w:tc>
        <w:tc>
          <w:tcPr>
            <w:tcW w:w="151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color w:val="auto"/>
                <w:sz w:val="20"/>
                <w:lang w:eastAsia="zh-CN"/>
              </w:rPr>
            </w:pPr>
            <w:r>
              <w:rPr>
                <w:rFonts w:hint="eastAsia"/>
                <w:b/>
                <w:color w:val="auto"/>
                <w:sz w:val="20"/>
                <w:lang w:eastAsia="zh-CN"/>
              </w:rPr>
              <w:t>视频培训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color w:val="auto"/>
                <w:sz w:val="20"/>
                <w:lang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时间5月4日19：30-20：30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color w:val="auto"/>
                <w:sz w:val="20"/>
                <w:lang w:eastAsia="zh-CN"/>
              </w:rPr>
            </w:pPr>
            <w:r>
              <w:rPr>
                <w:rFonts w:hint="eastAsia"/>
                <w:b/>
                <w:color w:val="auto"/>
                <w:sz w:val="20"/>
                <w:lang w:eastAsia="zh-CN"/>
              </w:rPr>
              <w:t>陈伟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51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生产工艺</w:t>
            </w:r>
            <w:r>
              <w:rPr>
                <w:b/>
                <w:color w:val="auto"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eastAsia="宋体"/>
                <w:b/>
                <w:color w:val="auto"/>
                <w:sz w:val="20"/>
                <w:lang w:eastAsia="zh-CN"/>
              </w:rPr>
            </w:pPr>
            <w:bookmarkStart w:id="3" w:name="_GoBack"/>
            <w:r>
              <w:rPr>
                <w:rFonts w:hint="eastAsia"/>
                <w:b/>
                <w:color w:val="auto"/>
                <w:sz w:val="20"/>
                <w:lang w:eastAsia="zh-CN"/>
              </w:rPr>
              <w:t>配料——混合搅拌——抽样检验——包装、入库</w:t>
            </w:r>
          </w:p>
          <w:bookmarkEnd w:id="3"/>
          <w:p>
            <w:pPr>
              <w:snapToGrid w:val="0"/>
              <w:spacing w:line="280" w:lineRule="exact"/>
              <w:rPr>
                <w:rFonts w:hint="eastAsia"/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其中配料、混合搅拌工序为关键过程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</w:rPr>
              <w:t>关键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color w:val="auto"/>
                <w:sz w:val="20"/>
                <w:lang w:eastAsia="zh-CN"/>
              </w:rPr>
            </w:pPr>
            <w:r>
              <w:rPr>
                <w:rFonts w:hint="eastAsia"/>
                <w:b/>
                <w:color w:val="auto"/>
                <w:sz w:val="20"/>
                <w:lang w:eastAsia="zh-CN"/>
              </w:rPr>
              <w:t>关键过程：</w:t>
            </w:r>
            <w:r>
              <w:rPr>
                <w:rFonts w:hint="eastAsia"/>
                <w:b/>
                <w:color w:val="auto"/>
                <w:sz w:val="20"/>
              </w:rPr>
              <w:t>配料、搅拌</w:t>
            </w:r>
            <w:r>
              <w:rPr>
                <w:rFonts w:hint="eastAsia"/>
                <w:b/>
                <w:color w:val="auto"/>
                <w:sz w:val="20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color w:val="auto"/>
                <w:sz w:val="20"/>
                <w:lang w:eastAsia="zh-CN"/>
              </w:rPr>
            </w:pPr>
            <w:r>
              <w:rPr>
                <w:rFonts w:hint="eastAsia"/>
                <w:b/>
                <w:color w:val="auto"/>
                <w:sz w:val="20"/>
                <w:lang w:eastAsia="zh-CN"/>
              </w:rPr>
              <w:t>主要控制参数：粒径、表观密度、含气量、抗压强度、稠度损失率等。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  <w:sz w:val="20"/>
              </w:rPr>
              <w:t>相关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color w:val="auto"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</w:rPr>
              <w:t>中华人民共和国民法典</w:t>
            </w:r>
            <w:r>
              <w:rPr>
                <w:rFonts w:hint="eastAsia"/>
                <w:b/>
                <w:color w:val="auto"/>
                <w:sz w:val="20"/>
                <w:lang w:eastAsia="zh-CN"/>
              </w:rPr>
              <w:t>、中华人民共和国安全生产法、中华人民共和国产品质量法、</w:t>
            </w:r>
            <w:r>
              <w:rPr>
                <w:rFonts w:hint="eastAsia"/>
                <w:b/>
                <w:color w:val="auto"/>
                <w:sz w:val="20"/>
              </w:rPr>
              <w:t>DB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51</w:t>
            </w:r>
            <w:r>
              <w:rPr>
                <w:rFonts w:hint="eastAsia"/>
                <w:b/>
                <w:color w:val="auto"/>
                <w:sz w:val="20"/>
              </w:rPr>
              <w:t>/T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color w:val="auto"/>
                <w:sz w:val="20"/>
              </w:rPr>
              <w:t>50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60-2013</w:t>
            </w:r>
            <w:r>
              <w:rPr>
                <w:rFonts w:hint="eastAsia"/>
                <w:b/>
                <w:color w:val="auto"/>
                <w:sz w:val="20"/>
              </w:rPr>
              <w:t>预拌砂浆生产与应用技术规程</w:t>
            </w:r>
            <w:r>
              <w:rPr>
                <w:rFonts w:hint="eastAsia"/>
                <w:b/>
                <w:color w:val="auto"/>
                <w:sz w:val="20"/>
                <w:lang w:eastAsia="zh-CN"/>
              </w:rPr>
              <w:t>、GB/T 25181-2019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color w:val="auto"/>
                <w:sz w:val="20"/>
                <w:lang w:eastAsia="zh-CN"/>
              </w:rPr>
              <w:t>预拌砂浆、GB/T 31245-2014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 xml:space="preserve"> 预拌砂浆术语等。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14"/>
                <w:szCs w:val="14"/>
              </w:rPr>
            </w:pPr>
            <w:r>
              <w:rPr>
                <w:rFonts w:hint="eastAsia"/>
                <w:b/>
                <w:color w:val="auto"/>
                <w:sz w:val="20"/>
              </w:rPr>
              <w:t>检验和试验项目及要求</w:t>
            </w:r>
            <w:r>
              <w:rPr>
                <w:b/>
                <w:color w:val="auto"/>
                <w:sz w:val="20"/>
              </w:rPr>
              <w:t>(</w:t>
            </w:r>
            <w:r>
              <w:rPr>
                <w:rFonts w:hint="eastAsia"/>
                <w:b/>
                <w:color w:val="auto"/>
                <w:sz w:val="20"/>
              </w:rPr>
              <w:t>如有型式试验要求</w:t>
            </w:r>
            <w:r>
              <w:rPr>
                <w:b/>
                <w:color w:val="auto"/>
                <w:sz w:val="20"/>
              </w:rPr>
              <w:t>,</w:t>
            </w:r>
            <w:r>
              <w:rPr>
                <w:rFonts w:hint="eastAsia"/>
                <w:b/>
                <w:color w:val="auto"/>
                <w:sz w:val="20"/>
              </w:rPr>
              <w:t>要进行说明</w:t>
            </w:r>
            <w:r>
              <w:rPr>
                <w:b/>
                <w:color w:val="auto"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砂浆有型式试验要求：</w:t>
            </w:r>
          </w:p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检验项目有：</w:t>
            </w:r>
            <w:r>
              <w:rPr>
                <w:rFonts w:hint="eastAsia"/>
                <w:b/>
                <w:color w:val="auto"/>
                <w:sz w:val="20"/>
                <w:lang w:eastAsia="zh-CN"/>
              </w:rPr>
              <w:t>粒径、表观密度、含气量、抗压强度、稠度损失率等</w:t>
            </w:r>
            <w:r>
              <w:rPr>
                <w:rFonts w:hint="eastAsia"/>
                <w:b/>
                <w:color w:val="auto"/>
                <w:sz w:val="20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rFonts w:hint="eastAsia"/>
                <w:b/>
                <w:color w:val="auto"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color w:val="auto"/>
                <w:sz w:val="20"/>
                <w:lang w:eastAsia="zh-CN"/>
              </w:rPr>
            </w:pPr>
            <w:r>
              <w:rPr>
                <w:rFonts w:hint="eastAsia"/>
                <w:b/>
                <w:color w:val="auto"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/>
                <w:b/>
                <w:color w:val="auto"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ascii="宋体"/>
                <w:b/>
                <w:color w:val="auto"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color w:val="auto"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color w:val="auto"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 w:eastAsia="宋体"/>
                <w:color w:val="auto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300990</wp:posOffset>
                  </wp:positionH>
                  <wp:positionV relativeFrom="paragraph">
                    <wp:posOffset>191135</wp:posOffset>
                  </wp:positionV>
                  <wp:extent cx="815340" cy="403860"/>
                  <wp:effectExtent l="0" t="0" r="3810" b="15240"/>
                  <wp:wrapNone/>
                  <wp:docPr id="53" name="图片 5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lang w:val="en-US" w:eastAsia="zh-CN"/>
              </w:rPr>
              <w:t>2022.5.4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 w:ascii="宋体"/>
                <w:b/>
                <w:color w:val="auto"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 w:eastAsia="宋体"/>
                <w:color w:val="auto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262890</wp:posOffset>
                  </wp:positionH>
                  <wp:positionV relativeFrom="paragraph">
                    <wp:posOffset>187325</wp:posOffset>
                  </wp:positionV>
                  <wp:extent cx="815340" cy="403860"/>
                  <wp:effectExtent l="0" t="0" r="3810" b="15240"/>
                  <wp:wrapNone/>
                  <wp:docPr id="1" name="图片 1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lang w:val="en-US" w:eastAsia="zh-CN"/>
              </w:rPr>
              <w:t>2022.5.4</w:t>
            </w:r>
          </w:p>
        </w:tc>
      </w:tr>
    </w:tbl>
    <w:p>
      <w:pPr>
        <w:snapToGrid w:val="0"/>
        <w:rPr>
          <w:rFonts w:ascii="宋体"/>
          <w:b/>
          <w:color w:val="auto"/>
          <w:sz w:val="22"/>
          <w:szCs w:val="22"/>
        </w:rPr>
      </w:pPr>
    </w:p>
    <w:p>
      <w:pPr>
        <w:snapToGrid w:val="0"/>
        <w:rPr>
          <w:rFonts w:hint="eastAsia" w:ascii="宋体"/>
          <w:b/>
          <w:color w:val="auto"/>
          <w:spacing w:val="-6"/>
          <w:sz w:val="21"/>
          <w:szCs w:val="21"/>
        </w:rPr>
      </w:pPr>
      <w:r>
        <w:rPr>
          <w:rFonts w:hint="eastAsia" w:ascii="宋体"/>
          <w:b/>
          <w:color w:val="auto"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color w:val="auto"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color w:val="auto"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color w:val="auto"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color w:val="auto"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color w:val="auto"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color w:val="auto"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color w:val="auto"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color w:val="auto"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30"/>
          <w:szCs w:val="30"/>
        </w:rPr>
        <w:t>专业培训记录</w:t>
      </w:r>
    </w:p>
    <w:p>
      <w:pPr>
        <w:rPr>
          <w:b/>
          <w:color w:val="auto"/>
          <w:sz w:val="22"/>
          <w:szCs w:val="22"/>
        </w:rPr>
      </w:pPr>
      <w:r>
        <w:rPr>
          <w:rFonts w:hint="eastAsia"/>
          <w:b/>
          <w:color w:val="auto"/>
          <w:sz w:val="22"/>
          <w:szCs w:val="22"/>
        </w:rPr>
        <w:t>■</w:t>
      </w:r>
      <w:r>
        <w:rPr>
          <w:b/>
          <w:color w:val="auto"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256"/>
        <w:gridCol w:w="16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color w:val="auto"/>
                <w:sz w:val="21"/>
                <w:szCs w:val="21"/>
              </w:rPr>
              <w:t>成都澳力鑫新型建材有限公司</w:t>
            </w:r>
          </w:p>
        </w:tc>
        <w:tc>
          <w:tcPr>
            <w:tcW w:w="144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</w:rPr>
              <w:t>专业小类</w:t>
            </w:r>
            <w:r>
              <w:rPr>
                <w:b/>
                <w:color w:val="auto"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</w:rPr>
              <w:t>项目代码</w:t>
            </w:r>
          </w:p>
        </w:tc>
        <w:tc>
          <w:tcPr>
            <w:tcW w:w="1651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E</w:t>
            </w:r>
            <w:r>
              <w:rPr>
                <w:rFonts w:hint="eastAsia"/>
                <w:b/>
                <w:color w:val="auto"/>
                <w:sz w:val="20"/>
              </w:rPr>
              <w:t>：16.02.04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  <w:lang w:eastAsia="zh-CN"/>
              </w:rPr>
              <w:t>杨珍全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E</w:t>
            </w:r>
            <w:r>
              <w:rPr>
                <w:rFonts w:hint="eastAsia"/>
                <w:b/>
                <w:color w:val="auto"/>
                <w:sz w:val="20"/>
              </w:rPr>
              <w:t>：16.02.04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</w:rPr>
              <w:t>培训地点</w:t>
            </w:r>
          </w:p>
        </w:tc>
        <w:tc>
          <w:tcPr>
            <w:tcW w:w="165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color w:val="auto"/>
                <w:sz w:val="20"/>
                <w:lang w:eastAsia="zh-CN"/>
              </w:rPr>
            </w:pPr>
            <w:r>
              <w:rPr>
                <w:rFonts w:hint="eastAsia"/>
                <w:b/>
                <w:color w:val="auto"/>
                <w:sz w:val="20"/>
                <w:lang w:eastAsia="zh-CN"/>
              </w:rPr>
              <w:t>视频培训</w:t>
            </w:r>
          </w:p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时间5月4日19：30-20：30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  <w:lang w:eastAsia="zh-CN"/>
              </w:rPr>
              <w:t>陈伟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65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生产工艺</w:t>
            </w:r>
            <w:r>
              <w:rPr>
                <w:b/>
                <w:color w:val="auto"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eastAsia="宋体"/>
                <w:b/>
                <w:color w:val="auto"/>
                <w:sz w:val="20"/>
                <w:lang w:eastAsia="zh-CN"/>
              </w:rPr>
            </w:pPr>
            <w:r>
              <w:rPr>
                <w:rFonts w:hint="eastAsia"/>
                <w:b/>
                <w:color w:val="auto"/>
                <w:sz w:val="20"/>
                <w:lang w:eastAsia="zh-CN"/>
              </w:rPr>
              <w:t>配料——混合搅拌——抽样检验——包装、入库</w:t>
            </w:r>
          </w:p>
          <w:p>
            <w:pPr>
              <w:snapToGrid w:val="0"/>
              <w:spacing w:line="280" w:lineRule="exact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其中配料、混合搅拌工序为关键过程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重要环境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color w:val="auto"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潜在火灾、固废的排放、废水排放</w:t>
            </w:r>
            <w:r>
              <w:rPr>
                <w:rFonts w:hint="eastAsia"/>
                <w:b/>
                <w:color w:val="auto"/>
                <w:sz w:val="20"/>
                <w:lang w:eastAsia="zh-CN"/>
              </w:rPr>
              <w:t>、废气</w:t>
            </w:r>
            <w:r>
              <w:rPr>
                <w:rFonts w:hint="eastAsia"/>
                <w:b/>
                <w:color w:val="auto"/>
                <w:sz w:val="20"/>
              </w:rPr>
              <w:t>排放、噪声排放。按控制方案和预案进行控制。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  <w:sz w:val="20"/>
              </w:rPr>
              <w:t>相关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color w:val="auto"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color w:val="auto"/>
                <w:sz w:val="20"/>
                <w:lang w:eastAsia="zh-CN"/>
              </w:rPr>
            </w:pPr>
            <w:r>
              <w:rPr>
                <w:rFonts w:hint="eastAsia"/>
                <w:b/>
                <w:color w:val="auto"/>
                <w:sz w:val="20"/>
              </w:rPr>
              <w:t>《污水综合排放标准》（GB8978-1996）表4中1级；《大气污染物综合排放标准》（DB 50/418-2016）表1中标准限值；《工业企业厂界环境噪声排放标准》（GB12348-2008）表1中2类</w:t>
            </w:r>
            <w:r>
              <w:rPr>
                <w:rFonts w:hint="eastAsia"/>
                <w:b/>
                <w:color w:val="auto"/>
                <w:sz w:val="20"/>
                <w:lang w:eastAsia="zh-CN"/>
              </w:rPr>
              <w:t>等</w:t>
            </w:r>
            <w:r>
              <w:rPr>
                <w:rFonts w:hint="eastAsia"/>
                <w:b/>
                <w:color w:val="auto"/>
                <w:sz w:val="20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14"/>
                <w:szCs w:val="14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eastAsia="zh-CN"/>
              </w:rPr>
              <w:t>有环境监测报告（废气和噪声），编号：通检字（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2021</w:t>
            </w:r>
            <w:r>
              <w:rPr>
                <w:rFonts w:hint="eastAsia"/>
                <w:b/>
                <w:color w:val="auto"/>
                <w:sz w:val="20"/>
                <w:lang w:eastAsia="zh-CN"/>
              </w:rPr>
              <w:t>）第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W052801-1号。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rFonts w:hint="eastAsia"/>
                <w:b/>
                <w:color w:val="auto"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color w:val="auto"/>
                <w:sz w:val="20"/>
                <w:lang w:eastAsia="zh-CN"/>
              </w:rPr>
            </w:pPr>
            <w:r>
              <w:rPr>
                <w:rFonts w:hint="eastAsia"/>
                <w:b/>
                <w:color w:val="auto"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/>
                <w:b/>
                <w:color w:val="auto"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ascii="宋体"/>
                <w:b/>
                <w:color w:val="auto"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color w:val="auto"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color w:val="auto"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 w:eastAsia="宋体"/>
                <w:color w:val="auto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124460</wp:posOffset>
                  </wp:positionV>
                  <wp:extent cx="815340" cy="403860"/>
                  <wp:effectExtent l="0" t="0" r="3810" b="15240"/>
                  <wp:wrapNone/>
                  <wp:docPr id="3" name="图片 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lang w:val="en-US" w:eastAsia="zh-CN"/>
              </w:rPr>
              <w:t>2022.5.4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 w:ascii="宋体"/>
                <w:b/>
                <w:color w:val="auto"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 w:eastAsia="宋体"/>
                <w:color w:val="auto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367030</wp:posOffset>
                  </wp:positionH>
                  <wp:positionV relativeFrom="paragraph">
                    <wp:posOffset>108585</wp:posOffset>
                  </wp:positionV>
                  <wp:extent cx="815340" cy="403860"/>
                  <wp:effectExtent l="0" t="0" r="3810" b="15240"/>
                  <wp:wrapNone/>
                  <wp:docPr id="4" name="图片 4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lang w:val="en-US" w:eastAsia="zh-CN"/>
              </w:rPr>
              <w:t>2022.5.4</w:t>
            </w:r>
          </w:p>
        </w:tc>
      </w:tr>
    </w:tbl>
    <w:p>
      <w:pPr>
        <w:snapToGrid w:val="0"/>
        <w:rPr>
          <w:rFonts w:ascii="宋体"/>
          <w:b/>
          <w:color w:val="auto"/>
          <w:sz w:val="22"/>
          <w:szCs w:val="22"/>
        </w:rPr>
      </w:pPr>
    </w:p>
    <w:p>
      <w:pPr>
        <w:snapToGrid w:val="0"/>
        <w:rPr>
          <w:rFonts w:ascii="宋体"/>
          <w:b/>
          <w:color w:val="auto"/>
          <w:spacing w:val="-6"/>
          <w:sz w:val="21"/>
          <w:szCs w:val="21"/>
        </w:rPr>
      </w:pPr>
      <w:r>
        <w:rPr>
          <w:rFonts w:hint="eastAsia" w:ascii="宋体"/>
          <w:b/>
          <w:color w:val="auto"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color w:val="auto"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color w:val="auto"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color w:val="auto"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color w:val="auto"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color w:val="auto"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color w:val="auto"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color w:val="auto"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color w:val="auto"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3FE77A2"/>
    <w:rsid w:val="048A268F"/>
    <w:rsid w:val="08C77405"/>
    <w:rsid w:val="08D94110"/>
    <w:rsid w:val="0C28576C"/>
    <w:rsid w:val="0C6E3759"/>
    <w:rsid w:val="10F553AF"/>
    <w:rsid w:val="116126C0"/>
    <w:rsid w:val="15E50ECA"/>
    <w:rsid w:val="17AA5BEB"/>
    <w:rsid w:val="1E2D154A"/>
    <w:rsid w:val="1ED40414"/>
    <w:rsid w:val="22873A35"/>
    <w:rsid w:val="2365676D"/>
    <w:rsid w:val="25DB5EF8"/>
    <w:rsid w:val="26491028"/>
    <w:rsid w:val="27C46B92"/>
    <w:rsid w:val="2AF21631"/>
    <w:rsid w:val="2B8976F1"/>
    <w:rsid w:val="2D825B15"/>
    <w:rsid w:val="2D8A6187"/>
    <w:rsid w:val="30901AA0"/>
    <w:rsid w:val="31EC7411"/>
    <w:rsid w:val="35D673FD"/>
    <w:rsid w:val="39BF641B"/>
    <w:rsid w:val="3DCC520C"/>
    <w:rsid w:val="3F4C7741"/>
    <w:rsid w:val="41212B58"/>
    <w:rsid w:val="458D79A0"/>
    <w:rsid w:val="45F44CA7"/>
    <w:rsid w:val="494646D5"/>
    <w:rsid w:val="4A9F72BE"/>
    <w:rsid w:val="4AE56CE5"/>
    <w:rsid w:val="4DAC2626"/>
    <w:rsid w:val="4DB71B04"/>
    <w:rsid w:val="4DFC1B26"/>
    <w:rsid w:val="519913FC"/>
    <w:rsid w:val="52235AA1"/>
    <w:rsid w:val="52EB65EF"/>
    <w:rsid w:val="578A49A2"/>
    <w:rsid w:val="5BE12185"/>
    <w:rsid w:val="5F037F93"/>
    <w:rsid w:val="5F0D5F64"/>
    <w:rsid w:val="615C33BC"/>
    <w:rsid w:val="61D76EE6"/>
    <w:rsid w:val="61FA5617"/>
    <w:rsid w:val="64FD3B46"/>
    <w:rsid w:val="6723497B"/>
    <w:rsid w:val="6B9876E6"/>
    <w:rsid w:val="6DBA066E"/>
    <w:rsid w:val="6FEB5085"/>
    <w:rsid w:val="762D4ECF"/>
    <w:rsid w:val="769D248C"/>
    <w:rsid w:val="77626DFA"/>
    <w:rsid w:val="78131D0D"/>
    <w:rsid w:val="7840713B"/>
    <w:rsid w:val="7C046812"/>
    <w:rsid w:val="7C7A4BE6"/>
    <w:rsid w:val="7DCC01A6"/>
    <w:rsid w:val="7F9D6B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738</Words>
  <Characters>894</Characters>
  <Lines>2</Lines>
  <Paragraphs>1</Paragraphs>
  <TotalTime>0</TotalTime>
  <ScaleCrop>false</ScaleCrop>
  <LinksUpToDate>false</LinksUpToDate>
  <CharactersWithSpaces>903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2022-05-10T06:41:16Z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2052-11.1.0.11636</vt:lpwstr>
  </property>
</Properties>
</file>