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rFonts w:hint="eastAsia" w:ascii="宋体" w:hAnsi="宋体"/>
                <w:b/>
                <w:bCs/>
                <w:kern w:val="0"/>
                <w:szCs w:val="21"/>
                <w:u w:val="single"/>
              </w:rPr>
              <w:t>雄宇重工集团股份有限公司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王宁敏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kern w:val="2"/>
                <w:sz w:val="21"/>
                <w:szCs w:val="22"/>
                <w:lang w:val="en-US" w:eastAsia="zh-CN" w:bidi="ar-SA"/>
              </w:rPr>
              <w:t>下料→金加工→拼装→焊接→打磨→喷漆/喷塑（外包）→测试→包装→入库；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主要能源使用：电力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主要能源参数：综合能耗tce、单位产品能耗kgce/台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 xml:space="preserve">《中华人民共和国电力法》、《中华人民共和国节约能源法》《中华人民共和国可再生能源法》、《国家重点节能技术推广目录（1-6 批）》、《企业节能量计算方法 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instrText xml:space="preserve"> HYPERLINK "http://www.csres.com/detail/204647.html" \h </w:instrTex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GB/T 13234-201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8》、电力变压器经济运行（GB13462-2008）、综合能耗计算通则GBT2589-2020、 用能单位能源计量器具配备与管理通则（GB/T17167-2006）等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414655</wp:posOffset>
                  </wp:positionH>
                  <wp:positionV relativeFrom="paragraph">
                    <wp:posOffset>171450</wp:posOffset>
                  </wp:positionV>
                  <wp:extent cx="640715" cy="300990"/>
                  <wp:effectExtent l="0" t="0" r="6985" b="3810"/>
                  <wp:wrapSquare wrapText="bothSides"/>
                  <wp:docPr id="1" name="图片 1" descr="0e01075ba2fecce7a326c4f9b0d15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e01075ba2fecce7a326c4f9b0d154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15" cy="30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139700</wp:posOffset>
                  </wp:positionV>
                  <wp:extent cx="640715" cy="300990"/>
                  <wp:effectExtent l="0" t="0" r="6985" b="3810"/>
                  <wp:wrapSquare wrapText="bothSides"/>
                  <wp:docPr id="3" name="图片 3" descr="0e01075ba2fecce7a326c4f9b0d15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e01075ba2fecce7a326c4f9b0d154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15" cy="30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1" w:name="_GoBack"/>
      <w:bookmarkEnd w:id="1"/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452A06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开门大吉～ISO认证服务</cp:lastModifiedBy>
  <dcterms:modified xsi:type="dcterms:W3CDTF">2022-05-09T16:16:47Z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2052-11.1.0.11411</vt:lpwstr>
  </property>
</Properties>
</file>