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0007-2020-2022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54"/>
        <w:gridCol w:w="1539"/>
        <w:gridCol w:w="1013"/>
        <w:gridCol w:w="894"/>
        <w:gridCol w:w="2466"/>
        <w:gridCol w:w="100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46" w:type="dxa"/>
            <w:gridSpan w:val="3"/>
            <w:vAlign w:val="center"/>
          </w:tcPr>
          <w:p>
            <w:r>
              <w:rPr>
                <w:rFonts w:hint="eastAsia"/>
              </w:rPr>
              <w:t>分层注水测调仪护筒表面硬度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466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451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（35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97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17" w:type="dxa"/>
            <w:gridSpan w:val="3"/>
            <w:vAlign w:val="center"/>
          </w:tcPr>
          <w:p>
            <w:r>
              <w:rPr>
                <w:rFonts w:hint="eastAsia"/>
              </w:rPr>
              <w:t>YFCT分层注水测调仪YFCT-9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314" w:type="dxa"/>
            <w:gridSpan w:val="8"/>
            <w:vAlign w:val="top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参数允许误差：±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参数</w:t>
            </w:r>
            <w:r>
              <w:rPr>
                <w:rFonts w:hint="eastAsia"/>
              </w:rPr>
              <w:t>的最大</w:t>
            </w:r>
            <w:r>
              <w:t>允许误差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±1</w:t>
            </w:r>
            <w:r>
              <w:rPr>
                <w:rFonts w:hint="eastAsia" w:asciiTheme="minorEastAsia" w:hAnsiTheme="minorEastAsia"/>
                <w:color w:val="000000" w:themeColor="text1"/>
              </w:rPr>
              <w:t>.6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</w:rPr>
              <w:t>（20</w:t>
            </w:r>
            <w:r>
              <w:t>-</w:t>
            </w:r>
            <w:r>
              <w:rPr>
                <w:rFonts w:hint="eastAsia"/>
              </w:rPr>
              <w:t>70）</w:t>
            </w:r>
            <w:r>
              <w:t>HRC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最大允许误差：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1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00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5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7" w:type="dxa"/>
            <w:vMerge w:val="continue"/>
          </w:tcPr>
          <w:p/>
        </w:tc>
        <w:tc>
          <w:tcPr>
            <w:tcW w:w="1893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数显洛氏硬度计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编号：1425</w:t>
            </w:r>
          </w:p>
        </w:tc>
        <w:tc>
          <w:tcPr>
            <w:tcW w:w="1013" w:type="dxa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HR-150L</w:t>
            </w:r>
          </w:p>
        </w:tc>
        <w:tc>
          <w:tcPr>
            <w:tcW w:w="3360" w:type="dxa"/>
            <w:gridSpan w:val="2"/>
            <w:vAlign w:val="top"/>
          </w:tcPr>
          <w:p>
            <w:pPr>
              <w:ind w:firstLine="840" w:firstLineChars="400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ZD20211220038</w:t>
            </w:r>
          </w:p>
        </w:tc>
        <w:tc>
          <w:tcPr>
            <w:tcW w:w="1451" w:type="dxa"/>
            <w:vAlign w:val="top"/>
          </w:tcPr>
          <w:p>
            <w:pPr>
              <w:rPr>
                <w:color w:val="FF0000"/>
              </w:rPr>
            </w:pPr>
            <w:bookmarkStart w:id="1" w:name="_GoBack"/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12.26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7" w:type="dxa"/>
            <w:vMerge w:val="continue"/>
          </w:tcPr>
          <w:p/>
        </w:tc>
        <w:tc>
          <w:tcPr>
            <w:tcW w:w="189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013" w:type="dxa"/>
          </w:tcPr>
          <w:p>
            <w:pPr>
              <w:rPr>
                <w:color w:val="FF0000"/>
              </w:rPr>
            </w:pPr>
          </w:p>
        </w:tc>
        <w:tc>
          <w:tcPr>
            <w:tcW w:w="33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000" w:type="dxa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测量设备的测量范围20-70HRC，满足计量要求的测量范围</w:t>
            </w:r>
            <w:r>
              <w:rPr>
                <w:rFonts w:hint="eastAsia"/>
              </w:rPr>
              <w:t>（35</w:t>
            </w:r>
            <w:r>
              <w:t>-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测量设备的示值误差小于导出的测量设备的最大允许误差。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151765</wp:posOffset>
                  </wp:positionV>
                  <wp:extent cx="594360" cy="268605"/>
                  <wp:effectExtent l="0" t="0" r="0" b="10795"/>
                  <wp:wrapNone/>
                  <wp:docPr id="2" name="图片 2" descr="c1cd00722f850acbb01652919f35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1cd00722f850acbb01652919f355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186055</wp:posOffset>
                  </wp:positionV>
                  <wp:extent cx="336550" cy="258445"/>
                  <wp:effectExtent l="0" t="0" r="6350" b="825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113030</wp:posOffset>
                  </wp:positionV>
                  <wp:extent cx="643255" cy="370205"/>
                  <wp:effectExtent l="0" t="0" r="4445" b="10795"/>
                  <wp:wrapNone/>
                  <wp:docPr id="1" name="图片 1" descr="2e7726a48061ac56d666834fbcbb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e7726a48061ac56d666834fbcbbd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AA4D6B"/>
    <w:rsid w:val="62F85191"/>
    <w:rsid w:val="69273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580</Characters>
  <Lines>2</Lines>
  <Paragraphs>1</Paragraphs>
  <TotalTime>3</TotalTime>
  <ScaleCrop>false</ScaleCrop>
  <LinksUpToDate>false</LinksUpToDate>
  <CharactersWithSpaces>675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2022-05-22T03:13:39Z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4475C21D30E44653BB55BAA18FAD3CCA</vt:lpwstr>
  </property>
</Properties>
</file>