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0508-2022-E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河北中兴宏力钻头制造有限公司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2022年05月11日 上午至2022年05月11日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河北省沧州市河间市时村乡大店村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2020-N1EMS-1262293</w:t>
            </w:r>
          </w:p>
        </w:tc>
        <w:tc>
          <w:tcPr>
            <w:tcW w:w="1140" w:type="dxa"/>
            <w:vAlign w:val="center"/>
          </w:tcPr>
          <w:p>
            <w:pPr>
              <w:spacing w:line="240" w:lineRule="exact"/>
              <w:jc w:val="center"/>
              <w:rPr>
                <w:b/>
                <w:color w:val="000000"/>
                <w:szCs w:val="21"/>
              </w:rPr>
            </w:pPr>
            <w:r>
              <w:rPr>
                <w:b/>
                <w:color w:val="000000"/>
                <w:szCs w:val="21"/>
              </w:rPr>
              <w:t>29.10.03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河北中兴宏力钻头制造有限公司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河北省沧州市河间市时村乡大店村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062450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河北省沧州市河间市时村乡大店村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062450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王占军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17692799285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槐洪军</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王占军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钻头的销售所涉及场所的相关环境管理活动</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lang w:val="en-US" w:eastAsia="zh-CN"/>
              </w:rPr>
              <w:t>客户接待→签订合同→采购→验收→发货→交付→顾客满意度调查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钻头的销售所涉及场所的相关环境管理活动</w:t>
            </w:r>
          </w:p>
        </w:tc>
        <w:tc>
          <w:tcPr>
            <w:tcW w:w="2006" w:type="dxa"/>
            <w:gridSpan w:val="3"/>
            <w:vAlign w:val="center"/>
          </w:tcPr>
          <w:p>
            <w:pPr>
              <w:spacing w:line="400" w:lineRule="exact"/>
              <w:rPr>
                <w:rFonts w:ascii="宋体" w:hAnsi="宋体"/>
                <w:b/>
                <w:color w:val="000000"/>
                <w:szCs w:val="21"/>
              </w:rPr>
            </w:pPr>
            <w:bookmarkStart w:id="36" w:name="专业代码"/>
            <w:r>
              <w:t>29.10.03</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河北中兴宏力钻头制造有限公司</w:t>
            </w:r>
            <w:r>
              <w:rPr>
                <w:rFonts w:hint="eastAsia"/>
                <w:sz w:val="21"/>
                <w:szCs w:val="21"/>
                <w:lang w:val="en-US" w:eastAsia="zh-CN"/>
              </w:rPr>
              <w:t>/</w:t>
            </w:r>
            <w:r>
              <w:rPr>
                <w:sz w:val="21"/>
                <w:szCs w:val="21"/>
              </w:rPr>
              <w:t>河北省沧州市河间市时村乡大店村</w:t>
            </w:r>
          </w:p>
        </w:tc>
        <w:tc>
          <w:tcPr>
            <w:tcW w:w="2267" w:type="dxa"/>
          </w:tcPr>
          <w:p>
            <w:pPr>
              <w:spacing w:before="40" w:after="40"/>
              <w:rPr>
                <w:rFonts w:eastAsia="黑体"/>
                <w:szCs w:val="21"/>
                <w:lang w:val="de-DE" w:eastAsia="ja-JP"/>
              </w:rPr>
            </w:pPr>
            <w:r>
              <w:rPr>
                <w:sz w:val="21"/>
                <w:szCs w:val="21"/>
              </w:rPr>
              <w:t>河北省沧州市河间市时村乡大店村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pStyle w:val="19"/>
              <w:rPr>
                <w:rFonts w:eastAsia="黑体" w:cs="Arial"/>
                <w:sz w:val="21"/>
                <w:szCs w:val="21"/>
                <w:lang w:val="en-US" w:eastAsia="ja-JP"/>
              </w:rPr>
            </w:pPr>
            <w:r>
              <w:t>钻头的销售所涉及场所的相关环境管理活动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2022年1月4日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2022年4月12日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2022年4月21日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2022-05-1</w:t>
            </w:r>
            <w:bookmarkEnd w:id="37"/>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钻头的销售所涉及场所的相关环境管理活动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29.10.03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1703070</wp:posOffset>
            </wp:positionH>
            <wp:positionV relativeFrom="paragraph">
              <wp:posOffset>29210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2022年5月11日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bookmarkStart w:id="38" w:name="_GoBack"/>
            <w:bookmarkEnd w:id="38"/>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661670</wp:posOffset>
                  </wp:positionH>
                  <wp:positionV relativeFrom="paragraph">
                    <wp:posOffset>22225</wp:posOffset>
                  </wp:positionV>
                  <wp:extent cx="544830" cy="248920"/>
                  <wp:effectExtent l="0" t="0" r="3810" b="10160"/>
                  <wp:wrapNone/>
                  <wp:docPr id="2" name="图片 2"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2022年5月11日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2022年5月11日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509270</wp:posOffset>
                  </wp:positionH>
                  <wp:positionV relativeFrom="paragraph">
                    <wp:posOffset>69215</wp:posOffset>
                  </wp:positionV>
                  <wp:extent cx="544830" cy="248920"/>
                  <wp:effectExtent l="0" t="0" r="3810" b="10160"/>
                  <wp:wrapNone/>
                  <wp:docPr id="5" name="图片 5"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pPr>
              <w:spacing w:line="280" w:lineRule="exact"/>
              <w:rPr>
                <w:rFonts w:hint="default" w:eastAsia="宋体"/>
                <w:b/>
                <w:color w:val="000000"/>
                <w:szCs w:val="21"/>
                <w:lang w:val="en-US"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2022年5月11日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1DBB4E3F"/>
    <w:rsid w:val="50997E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 w:type="paragraph" w:customStyle="1" w:styleId="2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3933</Words>
  <Characters>4414</Characters>
  <Lines>67</Lines>
  <Paragraphs>18</Paragraphs>
  <TotalTime>4</TotalTime>
  <ScaleCrop>false</ScaleCrop>
  <LinksUpToDate>false</LinksUpToDate>
  <CharactersWithSpaces>4482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2022-05-13T03:30:53Z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