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0404-2022-QE</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rPr>
          <w:rFonts w:hint="eastAsia"/>
        </w:rPr>
      </w:pPr>
    </w:p>
    <w:p>
      <w:pPr>
        <w:pStyle w:val="1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江西省正百科技有限公司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2"/>
        <w:rPr>
          <w:rFonts w:hint="eastAsia"/>
        </w:rPr>
      </w:pPr>
    </w:p>
    <w:p>
      <w:pPr>
        <w:pStyle w:val="12"/>
        <w:rPr>
          <w:rFonts w:hint="eastAsia"/>
        </w:rPr>
      </w:pPr>
    </w:p>
    <w:p>
      <w:pPr>
        <w:pStyle w:val="1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江西省正百科技有限公司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江西省贵溪市硫磷化工基地</w:t>
            </w:r>
            <w:bookmarkEnd w:id="6"/>
          </w:p>
        </w:tc>
        <w:tc>
          <w:tcPr>
            <w:tcW w:w="1242" w:type="dxa"/>
            <w:vMerge w:val="restart"/>
            <w:vAlign w:val="center"/>
          </w:tcPr>
          <w:p>
            <w:r>
              <w:rPr>
                <w:rFonts w:hint="eastAsia"/>
              </w:rPr>
              <w:t>邮编</w:t>
            </w:r>
          </w:p>
        </w:tc>
        <w:tc>
          <w:tcPr>
            <w:tcW w:w="1771" w:type="dxa"/>
          </w:tcPr>
          <w:p>
            <w:bookmarkStart w:id="7" w:name="注册邮编"/>
            <w:r>
              <w:t>335400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江西省贵溪市硫磷化工基地</w:t>
            </w:r>
            <w:bookmarkEnd w:id="8"/>
          </w:p>
        </w:tc>
        <w:tc>
          <w:tcPr>
            <w:tcW w:w="1242" w:type="dxa"/>
            <w:vMerge w:val="continue"/>
            <w:vAlign w:val="center"/>
          </w:tcPr>
          <w:p/>
        </w:tc>
        <w:tc>
          <w:tcPr>
            <w:tcW w:w="1771" w:type="dxa"/>
          </w:tcPr>
          <w:p>
            <w:bookmarkStart w:id="9" w:name="办公邮编"/>
            <w:r>
              <w:t>335400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虞成隆</w:t>
            </w:r>
            <w:bookmarkEnd w:id="10"/>
          </w:p>
        </w:tc>
        <w:tc>
          <w:tcPr>
            <w:tcW w:w="1313" w:type="dxa"/>
            <w:vAlign w:val="center"/>
          </w:tcPr>
          <w:p>
            <w:r>
              <w:rPr>
                <w:rFonts w:hint="eastAsia"/>
              </w:rPr>
              <w:t>电话.</w:t>
            </w:r>
          </w:p>
        </w:tc>
        <w:tc>
          <w:tcPr>
            <w:tcW w:w="2180" w:type="dxa"/>
            <w:vAlign w:val="center"/>
          </w:tcPr>
          <w:p>
            <w:bookmarkStart w:id="11" w:name="联系人电话"/>
            <w:r>
              <w:t>18166015555</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虞成隆</w:t>
            </w:r>
            <w:bookmarkEnd w:id="13"/>
          </w:p>
        </w:tc>
        <w:tc>
          <w:tcPr>
            <w:tcW w:w="1313" w:type="dxa"/>
            <w:vAlign w:val="center"/>
          </w:tcPr>
          <w:p>
            <w:r>
              <w:rPr>
                <w:rFonts w:hint="eastAsia"/>
              </w:rPr>
              <w:t>管理者代表</w:t>
            </w:r>
          </w:p>
        </w:tc>
        <w:tc>
          <w:tcPr>
            <w:tcW w:w="2180" w:type="dxa"/>
          </w:tcPr>
          <w:p>
            <w:bookmarkStart w:id="14" w:name="管理者代表"/>
            <w:r>
              <w:t>虞成隆</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b/>
                <w:sz w:val="20"/>
                <w:lang w:val="en-US" w:eastAsia="zh-CN"/>
              </w:rPr>
              <w:t>分选→破碎→洗选→裂解→冷凝→收集→精馏→冷凝成品</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2022年05月06日 下午至2022年05月08日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A3"/>
            </w:r>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江西省贵溪市硫磷化工基地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Q：有机玻璃单体的生产、销售（原料来自废旧塑料回收）</w:t>
            </w:r>
          </w:p>
          <w:p>
            <w:r>
              <w:t>E：有机玻璃单体的生产、销售（原料来自废旧塑料回收）所涉及场所的相关环境管理活动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Q：12.01.04</w:t>
            </w:r>
          </w:p>
          <w:p>
            <w:r>
              <w:t>E：12.01.04</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2022年1月10日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vAlign w:val="top"/>
          </w:tcPr>
          <w:p>
            <w:pPr>
              <w:spacing w:before="40" w:after="40"/>
              <w:rPr>
                <w:rFonts w:hint="eastAsia" w:ascii="Times New Roman" w:hAnsi="Times New Roman" w:eastAsia="宋体" w:cs="Times New Roman"/>
                <w:kern w:val="2"/>
                <w:sz w:val="21"/>
                <w:szCs w:val="21"/>
                <w:lang w:val="de-DE" w:eastAsia="ja-JP" w:bidi="ar-SA"/>
              </w:rPr>
            </w:pPr>
            <w:r>
              <w:rPr>
                <w:sz w:val="21"/>
                <w:szCs w:val="21"/>
              </w:rPr>
              <w:t>江西省正百科技有限公司</w:t>
            </w:r>
            <w:r>
              <w:rPr>
                <w:rFonts w:hint="eastAsia"/>
                <w:sz w:val="21"/>
                <w:szCs w:val="21"/>
                <w:lang w:val="en-US" w:eastAsia="zh-CN"/>
              </w:rPr>
              <w:t>/</w:t>
            </w:r>
            <w:r>
              <w:rPr>
                <w:sz w:val="21"/>
                <w:szCs w:val="21"/>
              </w:rPr>
              <w:t>江西省贵溪市硫磷化工基地</w:t>
            </w:r>
          </w:p>
        </w:tc>
        <w:tc>
          <w:tcPr>
            <w:tcW w:w="2267" w:type="dxa"/>
            <w:vAlign w:val="top"/>
          </w:tcPr>
          <w:p>
            <w:pPr>
              <w:spacing w:before="40" w:after="40"/>
              <w:rPr>
                <w:rFonts w:ascii="Times New Roman" w:hAnsi="Times New Roman" w:eastAsia="黑体" w:cs="Times New Roman"/>
                <w:kern w:val="2"/>
                <w:sz w:val="21"/>
                <w:szCs w:val="21"/>
                <w:lang w:val="de-DE" w:eastAsia="ja-JP" w:bidi="ar-SA"/>
              </w:rPr>
            </w:pPr>
            <w:r>
              <w:rPr>
                <w:sz w:val="21"/>
                <w:szCs w:val="21"/>
              </w:rPr>
              <w:t>江西省贵溪市硫磷化工基地</w:t>
            </w:r>
          </w:p>
        </w:tc>
        <w:tc>
          <w:tcPr>
            <w:tcW w:w="571"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32</w:t>
            </w:r>
          </w:p>
        </w:tc>
        <w:tc>
          <w:tcPr>
            <w:tcW w:w="2803" w:type="dxa"/>
            <w:vAlign w:val="center"/>
          </w:tcPr>
          <w:p>
            <w:r>
              <w:t>Q：有机玻璃单体的生产、销售（原料来自废旧塑料回收）</w:t>
            </w:r>
          </w:p>
          <w:p>
            <w:pPr>
              <w:pStyle w:val="21"/>
              <w:rPr>
                <w:rFonts w:ascii="Times New Roman" w:hAnsi="Times New Roman" w:eastAsia="黑体" w:cs="Arial"/>
                <w:kern w:val="2"/>
                <w:sz w:val="21"/>
                <w:szCs w:val="21"/>
                <w:lang w:val="en-US" w:eastAsia="ja-JP" w:bidi="ar-SA"/>
              </w:rPr>
            </w:pPr>
            <w:r>
              <w:t>E：有机玻璃单体的生产、销售（原料来自废旧塑料回收）所涉及场所的相关环境管理活动</w:t>
            </w:r>
          </w:p>
        </w:tc>
        <w:tc>
          <w:tcPr>
            <w:tcW w:w="669" w:type="dxa"/>
            <w:vAlign w:val="center"/>
          </w:tcPr>
          <w:p>
            <w:pPr>
              <w:spacing w:before="40" w:after="40"/>
              <w:rPr>
                <w:rFonts w:hint="eastAsia" w:ascii="宋体" w:hAnsi="宋体"/>
                <w:b/>
                <w:sz w:val="21"/>
                <w:szCs w:val="21"/>
                <w:lang w:eastAsia="zh-CN"/>
              </w:rPr>
            </w:pPr>
            <w:r>
              <w:rPr>
                <w:rFonts w:hint="eastAsia" w:ascii="宋体" w:hAnsi="宋体"/>
                <w:b/>
                <w:sz w:val="21"/>
                <w:szCs w:val="21"/>
              </w:rPr>
              <w:t>GB/T19001-2016</w:t>
            </w:r>
            <w:r>
              <w:rPr>
                <w:rFonts w:hint="eastAsia" w:ascii="宋体" w:hAnsi="宋体"/>
                <w:b/>
                <w:sz w:val="21"/>
                <w:szCs w:val="21"/>
                <w:lang w:eastAsia="zh-CN"/>
              </w:rPr>
              <w:t>；</w:t>
            </w:r>
          </w:p>
          <w:p>
            <w:pPr>
              <w:spacing w:before="40" w:after="40"/>
              <w:rPr>
                <w:rFonts w:hint="eastAsia" w:ascii="宋体" w:hAnsi="宋体" w:eastAsia="宋体" w:cs="Times New Roman"/>
                <w:b/>
                <w:kern w:val="2"/>
                <w:sz w:val="21"/>
                <w:szCs w:val="21"/>
                <w:lang w:val="en-US" w:eastAsia="ja-JP" w:bidi="ar-SA"/>
              </w:rPr>
            </w:pPr>
            <w:r>
              <w:rPr>
                <w:rFonts w:hint="eastAsia" w:ascii="宋体" w:hAnsi="宋体"/>
                <w:b/>
                <w:sz w:val="21"/>
                <w:szCs w:val="21"/>
              </w:rPr>
              <w:t>GB/T24001-2016</w:t>
            </w: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eastAsia="宋体" w:cs="宋体"/>
                    <w:szCs w:val="21"/>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pPr>
        <w:rPr>
          <w:rFonts w:hint="eastAsia" w:eastAsia="宋体"/>
          <w:lang w:val="en-US" w:eastAsia="zh-CN"/>
        </w:rPr>
      </w:pPr>
      <w:r>
        <w:rPr>
          <w:rFonts w:hint="eastAsia"/>
        </w:rPr>
        <w:t>三、任何影响审核方案的重要事项：</w:t>
      </w:r>
      <w:r>
        <w:rPr>
          <w:rFonts w:hint="eastAsia"/>
          <w:lang w:val="en-US" w:eastAsia="zh-CN"/>
        </w:rPr>
        <w:t>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余家龙</w:t>
            </w:r>
          </w:p>
        </w:tc>
        <w:tc>
          <w:tcPr>
            <w:tcW w:w="1089" w:type="dxa"/>
            <w:vAlign w:val="center"/>
          </w:tcPr>
          <w:p>
            <w:r>
              <w:t>组长</w:t>
            </w:r>
          </w:p>
        </w:tc>
        <w:tc>
          <w:tcPr>
            <w:tcW w:w="711" w:type="dxa"/>
            <w:vAlign w:val="center"/>
          </w:tcPr>
          <w:p>
            <w:r>
              <w:t>男</w:t>
            </w:r>
          </w:p>
        </w:tc>
        <w:tc>
          <w:tcPr>
            <w:tcW w:w="3870" w:type="dxa"/>
            <w:vAlign w:val="center"/>
          </w:tcPr>
          <w:p>
            <w:r>
              <w:t>2020-N1QMS-1262293</w:t>
            </w:r>
          </w:p>
          <w:p>
            <w:r>
              <w:t>2020-N1EMS-1262293</w:t>
            </w:r>
          </w:p>
        </w:tc>
        <w:tc>
          <w:tcPr>
            <w:tcW w:w="2179" w:type="dxa"/>
            <w:vAlign w:val="center"/>
          </w:tcPr>
          <w:p>
            <w:r>
              <w:t>Q:12.01.04</w:t>
            </w:r>
          </w:p>
          <w:p>
            <w:r>
              <w:t>E:12.01.04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曾赣玲</w:t>
            </w:r>
          </w:p>
        </w:tc>
        <w:tc>
          <w:tcPr>
            <w:tcW w:w="1089" w:type="dxa"/>
            <w:vAlign w:val="center"/>
          </w:tcPr>
          <w:p>
            <w:r>
              <w:t>组员</w:t>
            </w:r>
          </w:p>
        </w:tc>
        <w:tc>
          <w:tcPr>
            <w:tcW w:w="711" w:type="dxa"/>
            <w:vAlign w:val="center"/>
          </w:tcPr>
          <w:p>
            <w:r>
              <w:t>女</w:t>
            </w:r>
          </w:p>
        </w:tc>
        <w:tc>
          <w:tcPr>
            <w:tcW w:w="3870" w:type="dxa"/>
            <w:vAlign w:val="center"/>
          </w:tcPr>
          <w:p>
            <w:r>
              <w:t>2021-N1QMS-1286307</w:t>
            </w:r>
          </w:p>
          <w:p>
            <w:r>
              <w:t>2021-N1EMS-1286307</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叶连英</w:t>
            </w:r>
          </w:p>
        </w:tc>
        <w:tc>
          <w:tcPr>
            <w:tcW w:w="1089" w:type="dxa"/>
            <w:vAlign w:val="center"/>
          </w:tcPr>
          <w:p>
            <w:r>
              <w:t>组员</w:t>
            </w:r>
          </w:p>
        </w:tc>
        <w:tc>
          <w:tcPr>
            <w:tcW w:w="711" w:type="dxa"/>
            <w:vAlign w:val="center"/>
          </w:tcPr>
          <w:p>
            <w:r>
              <w:t>女</w:t>
            </w:r>
          </w:p>
        </w:tc>
        <w:tc>
          <w:tcPr>
            <w:tcW w:w="3870" w:type="dxa"/>
            <w:vAlign w:val="center"/>
          </w:tcPr>
          <w:p>
            <w:r>
              <w:t>2020-N0QMS-1269413</w:t>
            </w:r>
          </w:p>
          <w:p>
            <w:r>
              <w:t>2021-N0EMS-1269413</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w:t>
      </w:r>
      <w:r>
        <w:rPr>
          <w:rFonts w:hint="eastAsia"/>
        </w:rPr>
        <w:sym w:font="Wingdings 2" w:char="0052"/>
      </w:r>
      <w:r>
        <w:rPr>
          <w:rFonts w:hint="eastAsia"/>
        </w:rPr>
        <w:t>EMS□OHSMS）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已于二阶段开具不符合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pPr>
        <w:rPr>
          <w:rFonts w:hint="eastAsia" w:eastAsia="宋体"/>
          <w:lang w:val="en-US" w:eastAsia="zh-CN"/>
        </w:rPr>
      </w:pPr>
      <w:r>
        <w:rPr>
          <w:rFonts w:hint="eastAsia"/>
        </w:rPr>
        <w:sym w:font="Wingdings 2" w:char="0052"/>
      </w:r>
      <w:r>
        <w:rPr>
          <w:rFonts w:hint="eastAsia"/>
        </w:rPr>
        <w:t>可能影响本次审核结论可靠性的因素：</w:t>
      </w:r>
      <w:r>
        <w:rPr>
          <w:rFonts w:hint="eastAsia"/>
          <w:lang w:val="en-US" w:eastAsia="zh-CN"/>
        </w:rPr>
        <w:t>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tcPr>
          <w:p>
            <w:r>
              <w:rPr>
                <w:sz w:val="20"/>
              </w:rPr>
              <w:t>有机玻璃单体的生产、销售（原料来自废旧塑料回收）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r>
              <w:rPr>
                <w:sz w:val="20"/>
              </w:rPr>
              <w:t>有机玻璃单体的生产、销售（原料来自废旧塑料回收）所涉及场所的相关环境管理活动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2022年5月15日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pStyle w:val="12"/>
      </w:pPr>
    </w:p>
    <w:p>
      <w:pPr>
        <w:rPr>
          <w:shd w:val="clear" w:color="FFFFFF" w:fill="D9D9D9"/>
        </w:rPr>
      </w:pPr>
      <w:r>
        <w:rPr>
          <w:shd w:val="clear" w:color="FFFFFF" w:fill="D9D9D9"/>
        </w:rPr>
        <w:br w:type="page"/>
      </w: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sym w:font="Wingdings 2" w:char="0052"/>
                  </w:r>
                  <w:r>
                    <w:rPr>
                      <w:rFonts w:hint="eastAsia"/>
                    </w:rPr>
                    <w:t>价值观</w:t>
                  </w:r>
                  <w:r>
                    <w:rPr>
                      <w:rFonts w:hint="eastAsia"/>
                    </w:rPr>
                    <w:sym w:font="Wingdings 2" w:char="0052"/>
                  </w:r>
                  <w:r>
                    <w:rPr>
                      <w:rFonts w:hint="eastAsia"/>
                    </w:rPr>
                    <w:t>文化□知识□绩效</w:t>
                  </w:r>
                  <w:r>
                    <w:rPr>
                      <w:rFonts w:hint="eastAsia"/>
                    </w:rPr>
                    <w:sym w:font="Wingdings 2" w:char="0052"/>
                  </w:r>
                  <w:r>
                    <w:rPr>
                      <w:rFonts w:hint="eastAsia"/>
                    </w:rPr>
                    <w:t>工艺</w:t>
                  </w:r>
                  <w:r>
                    <w:rPr>
                      <w:rFonts w:hint="eastAsia"/>
                    </w:rPr>
                    <w:sym w:font="Wingdings 2" w:char="0052"/>
                  </w:r>
                  <w:r>
                    <w:rPr>
                      <w:rFonts w:hint="eastAsia"/>
                    </w:rPr>
                    <w:t>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检测水平□合同评审□知识保密</w:t>
            </w:r>
          </w:p>
          <w:p>
            <w:pPr>
              <w:shd w:val="clear" w:color="auto" w:fill="C7DAF1" w:themeFill="text2" w:themeFillTint="32"/>
              <w:spacing w:before="40" w:after="40"/>
            </w:pPr>
            <w:r>
              <w:rPr>
                <w:rFonts w:hint="eastAsia"/>
              </w:rPr>
              <w:t>□新产品设计开发□原材料采购□外部供方控制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 xml:space="preserve">质量至上、持续创新、诚实守信、顾客至上 </w:t>
            </w:r>
          </w:p>
          <w:p>
            <w:pPr>
              <w:shd w:val="clear" w:color="auto" w:fill="C7DAF1" w:themeFill="text2" w:themeFillTint="32"/>
              <w:rPr>
                <w:u w:val="single"/>
              </w:rPr>
            </w:pPr>
            <w:r>
              <w:rPr>
                <w:rFonts w:hint="eastAsia"/>
                <w:color w:val="000000"/>
                <w:szCs w:val="18"/>
              </w:rPr>
              <w:t>预防为主，降低风险；遵章守法，减污降耗</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default" w:eastAsia="宋体"/>
                <w:lang w:val="en-US" w:eastAsia="zh-CN"/>
              </w:rPr>
            </w:pPr>
            <w:r>
              <w:rPr>
                <w:rFonts w:hint="eastAsia"/>
              </w:rPr>
              <w:t>QMS的主管部门是——</w:t>
            </w:r>
            <w:r>
              <w:rPr>
                <w:rFonts w:hint="eastAsia"/>
                <w:lang w:val="en-US" w:eastAsia="zh-CN"/>
              </w:rPr>
              <w:t>生产部、质检部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eastAsia="宋体" w:cs="Times New Roman"/>
                      <w:lang w:val="en-US" w:eastAsia="zh-CN"/>
                    </w:rPr>
                    <w:t>产品</w:t>
                  </w:r>
                  <w:r>
                    <w:rPr>
                      <w:rFonts w:hint="eastAsia" w:ascii="Times New Roman" w:hAnsi="Times New Roman" w:eastAsia="宋体" w:cs="Times New Roman"/>
                      <w:lang w:eastAsia="zh-CN"/>
                    </w:rPr>
                    <w:t>质量不良造成客户流失</w:t>
                  </w:r>
                </w:p>
              </w:tc>
              <w:tc>
                <w:tcPr>
                  <w:tcW w:w="3965" w:type="dxa"/>
                  <w:vAlign w:val="top"/>
                </w:tcPr>
                <w:p>
                  <w:pPr>
                    <w:pStyle w:val="25"/>
                    <w:snapToGrid w:val="0"/>
                    <w:jc w:val="both"/>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质量管理部门根据标准进行质量把控，并编制作业指导书，业务管理部门需与客户沟通好产品质量要求，确保公司与客户双方质量要求一致；</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olor w:val="000000"/>
                      <w:szCs w:val="21"/>
                    </w:rPr>
                    <w:t>产品一次交验合格率≥97%</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GB" w:eastAsia="zh-CN" w:bidi="ar-SA"/>
                    </w:rPr>
                  </w:pPr>
                  <w:r>
                    <w:rPr>
                      <w:rFonts w:hint="eastAsia"/>
                      <w:szCs w:val="21"/>
                    </w:rPr>
                    <w:t>合格数÷总数×</w:t>
                  </w:r>
                  <w:r>
                    <w:rPr>
                      <w:szCs w:val="21"/>
                    </w:rPr>
                    <w:t>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生产部、质检部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ascii="宋体" w:hAnsi="宋体"/>
                      <w:color w:val="000000"/>
                      <w:szCs w:val="21"/>
                    </w:rPr>
                    <w:t>顾客满意度9</w:t>
                  </w:r>
                  <w:r>
                    <w:rPr>
                      <w:rFonts w:ascii="宋体" w:hAnsi="宋体"/>
                      <w:color w:val="000000"/>
                      <w:szCs w:val="21"/>
                    </w:rPr>
                    <w:t>5</w:t>
                  </w:r>
                  <w:r>
                    <w:rPr>
                      <w:rFonts w:hint="eastAsia" w:ascii="宋体" w:hAnsi="宋体"/>
                      <w:color w:val="000000"/>
                      <w:szCs w:val="21"/>
                    </w:rPr>
                    <w:t>分以上</w:t>
                  </w:r>
                </w:p>
              </w:tc>
              <w:tc>
                <w:tcPr>
                  <w:tcW w:w="3136" w:type="dxa"/>
                  <w:shd w:val="clear" w:color="auto" w:fill="auto"/>
                  <w:vAlign w:val="top"/>
                </w:tcPr>
                <w:p>
                  <w:pPr>
                    <w:widowControl/>
                    <w:spacing w:before="40"/>
                    <w:jc w:val="left"/>
                    <w:rPr>
                      <w:rFonts w:ascii="Times New Roman" w:hAnsi="Times New Roman" w:eastAsia="宋体" w:cs="Times New Roman"/>
                      <w:color w:val="000000"/>
                      <w:kern w:val="2"/>
                      <w:sz w:val="21"/>
                      <w:szCs w:val="18"/>
                      <w:highlight w:val="cyan"/>
                      <w:lang w:val="en-US" w:eastAsia="zh-CN" w:bidi="ar-SA"/>
                    </w:rPr>
                  </w:pPr>
                  <w:r>
                    <w:rPr>
                      <w:rFonts w:hint="eastAsia"/>
                      <w:szCs w:val="21"/>
                    </w:rPr>
                    <w:t>评定数÷总数×</w:t>
                  </w:r>
                  <w:r>
                    <w:rPr>
                      <w:szCs w:val="21"/>
                    </w:rPr>
                    <w:t>100%</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销售部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11000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个；实验室个；</w:t>
            </w:r>
          </w:p>
          <w:p>
            <w:pPr>
              <w:shd w:val="clear" w:color="auto" w:fill="C7DAF1" w:themeFill="text2" w:themeFillTint="32"/>
              <w:rPr>
                <w:u w:val="single"/>
              </w:rPr>
            </w:pPr>
            <w:r>
              <w:rPr>
                <w:rFonts w:hint="eastAsia"/>
              </w:rPr>
              <w:t>主要生产设备有：</w:t>
            </w:r>
            <w:r>
              <w:rPr>
                <w:rFonts w:hint="eastAsia"/>
                <w:lang w:val="en-US" w:eastAsia="zh-CN"/>
              </w:rPr>
              <w:t>破</w:t>
            </w:r>
            <w:r>
              <w:rPr>
                <w:rFonts w:hint="eastAsia" w:ascii="宋体" w:hAnsi="宋体" w:cs="宋体"/>
                <w:b w:val="0"/>
                <w:sz w:val="21"/>
                <w:szCs w:val="21"/>
                <w:lang w:val="en-US" w:eastAsia="zh-CN"/>
              </w:rPr>
              <w:t>碎机、裂解炉，烟气发生炉，蒸馏釜、冷却塔，储罐</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C7DAF1" w:themeFill="text2" w:themeFillTint="32"/>
              <w:rPr>
                <w:u w:val="single"/>
              </w:rPr>
            </w:pPr>
            <w:r>
              <w:rPr>
                <w:rFonts w:hint="eastAsia"/>
              </w:rPr>
              <w:t>国家强检的计量器具有：</w:t>
            </w:r>
            <w:r>
              <w:rPr>
                <w:rFonts w:hint="eastAsia"/>
                <w:lang w:val="en-US" w:eastAsia="zh-CN"/>
              </w:rPr>
              <w:t>电子汽车衡、色谱仪</w:t>
            </w:r>
            <w:r>
              <w:rPr>
                <w:rFonts w:hint="eastAsia"/>
                <w:u w:val="single"/>
              </w:rPr>
              <w:t>（列举1~4种）</w:t>
            </w:r>
          </w:p>
          <w:p>
            <w:pPr>
              <w:shd w:val="clear" w:color="auto" w:fill="C7DAF1" w:themeFill="text2" w:themeFillTint="32"/>
              <w:rPr>
                <w:rFonts w:hint="eastAsia" w:eastAsia="宋体"/>
                <w:u w:val="single"/>
                <w:lang w:val="en-US" w:eastAsia="zh-CN"/>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rPr>
              <w:t>未进行定期校准/检定的有：</w:t>
            </w:r>
            <w:r>
              <w:rPr>
                <w:rFonts w:hint="eastAsia"/>
                <w:lang w:val="en-US" w:eastAsia="zh-CN"/>
              </w:rPr>
              <w:t>色谱仪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sym w:font="Wingdings 2" w:char="0052"/>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sym w:font="Wingdings 2" w:char="0052"/>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生产过程</w:t>
                  </w:r>
                </w:p>
              </w:tc>
              <w:tc>
                <w:tcPr>
                  <w:tcW w:w="3665" w:type="dxa"/>
                </w:tcPr>
                <w:p>
                  <w:pPr>
                    <w:shd w:val="clear" w:color="auto" w:fill="C7DAF1" w:themeFill="text2" w:themeFillTint="32"/>
                    <w:jc w:val="left"/>
                  </w:pPr>
                  <w:r>
                    <w:rPr>
                      <w:rFonts w:hint="eastAsia"/>
                      <w:color w:val="000000"/>
                      <w:lang w:val="en-US" w:eastAsia="zh-CN"/>
                    </w:rPr>
                    <w:t>裂解过程</w:t>
                  </w:r>
                </w:p>
              </w:tc>
              <w:tc>
                <w:tcPr>
                  <w:tcW w:w="3265" w:type="dxa"/>
                </w:tcPr>
                <w:p>
                  <w:pPr>
                    <w:shd w:val="clear" w:color="auto" w:fill="C7DAF1" w:themeFill="text2" w:themeFillTint="32"/>
                    <w:jc w:val="left"/>
                  </w:pPr>
                  <w:r>
                    <w:rPr>
                      <w:rFonts w:hint="eastAsia"/>
                      <w:color w:val="000000"/>
                      <w:lang w:val="en-US" w:eastAsia="zh-CN"/>
                    </w:rPr>
                    <w:t>温度、压力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default" w:eastAsia="宋体"/>
                      <w:lang w:val="en-US" w:eastAsia="zh-CN"/>
                    </w:rPr>
                  </w:pPr>
                  <w:r>
                    <w:rPr>
                      <w:rFonts w:hint="eastAsia"/>
                      <w:lang w:val="en-US" w:eastAsia="zh-CN"/>
                    </w:rPr>
                    <w:t>生产过程</w:t>
                  </w:r>
                </w:p>
              </w:tc>
              <w:tc>
                <w:tcPr>
                  <w:tcW w:w="3665" w:type="dxa"/>
                </w:tcPr>
                <w:p>
                  <w:pPr>
                    <w:shd w:val="clear" w:color="auto" w:fill="C7DAF1" w:themeFill="text2" w:themeFillTint="32"/>
                    <w:jc w:val="left"/>
                  </w:pPr>
                  <w:r>
                    <w:rPr>
                      <w:rFonts w:hint="eastAsia"/>
                      <w:color w:val="000000"/>
                      <w:lang w:val="en-US" w:eastAsia="zh-CN"/>
                    </w:rPr>
                    <w:t>精馏过程</w:t>
                  </w:r>
                </w:p>
              </w:tc>
              <w:tc>
                <w:tcPr>
                  <w:tcW w:w="3265" w:type="dxa"/>
                </w:tcPr>
                <w:p>
                  <w:pPr>
                    <w:shd w:val="clear" w:color="auto" w:fill="C7DAF1" w:themeFill="text2" w:themeFillTint="32"/>
                    <w:jc w:val="left"/>
                  </w:pPr>
                  <w:r>
                    <w:rPr>
                      <w:rFonts w:hint="eastAsia"/>
                      <w:color w:val="000000"/>
                      <w:lang w:val="en-US" w:eastAsia="zh-CN"/>
                    </w:rPr>
                    <w:t>温度、压力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sym w:font="Wingdings 2" w:char="0052"/>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rPr>
                <w:rFonts w:ascii="Times New Roman" w:hAnsi="Times New Roman" w:eastAsia="宋体" w:cs="Times New Roman"/>
                <w:kern w:val="2"/>
                <w:sz w:val="21"/>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rPr>
                <w:rFonts w:ascii="Times New Roman" w:hAnsi="Times New Roman" w:eastAsia="宋体" w:cs="Times New Roman"/>
                <w:kern w:val="2"/>
                <w:sz w:val="21"/>
                <w:szCs w:val="24"/>
                <w:lang w:val="en-US" w:eastAsia="zh-CN" w:bidi="ar-SA"/>
              </w:rPr>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sym w:font="Wingdings 2" w:char="0052"/>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color w:val="000000"/>
                <w:lang w:val="en-US" w:eastAsia="zh-CN"/>
              </w:rPr>
              <w:t>甲基丙烯酸甲酯</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color w:val="000000"/>
                <w:szCs w:val="18"/>
                <w:lang w:val="en-US" w:eastAsia="zh-CN"/>
              </w:rPr>
              <w:t>2022年4月</w:t>
            </w:r>
            <w:r>
              <w:rPr>
                <w:rFonts w:hint="eastAsia"/>
                <w:color w:val="000000"/>
                <w:szCs w:val="18"/>
              </w:rPr>
              <w:t>9日至</w:t>
            </w:r>
            <w:r>
              <w:rPr>
                <w:color w:val="000000"/>
                <w:szCs w:val="18"/>
              </w:rPr>
              <w:t>10</w:t>
            </w:r>
            <w:r>
              <w:rPr>
                <w:rFonts w:hint="eastAsia"/>
                <w:color w:val="000000"/>
                <w:szCs w:val="18"/>
              </w:rPr>
              <w:t>日</w:t>
            </w:r>
            <w:r>
              <w:rPr>
                <w:rFonts w:hint="eastAsia"/>
              </w:rPr>
              <w:t>实施了质量管理体系内部审核，对质量管理体系的符合性和有效性进行了审核。内审发现的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color w:val="000000"/>
                <w:szCs w:val="18"/>
              </w:rPr>
              <w:t>4月2</w:t>
            </w:r>
            <w:r>
              <w:rPr>
                <w:color w:val="000000"/>
                <w:szCs w:val="18"/>
              </w:rPr>
              <w:t>0</w:t>
            </w:r>
            <w:r>
              <w:rPr>
                <w:rFonts w:hint="eastAsia"/>
                <w:color w:val="000000"/>
                <w:szCs w:val="18"/>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 xml:space="preserve">不合格产品/服务 </w:t>
            </w:r>
            <w:r>
              <w:rPr>
                <w:rFonts w:hint="eastAsia" w:ascii="Wingdings" w:hAnsi="Wingdings"/>
                <w:lang w:eastAsia="zh-CN"/>
              </w:rPr>
              <w:t>□</w:t>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t>☑</w:t>
            </w:r>
            <w:r>
              <w:rPr>
                <w:rFonts w:hint="eastAsia"/>
              </w:rPr>
              <w:t xml:space="preserve">顾客满意调查 </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3</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default"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法律法规 </w:t>
                  </w:r>
                  <w:r>
                    <w:rPr>
                      <w:rFonts w:hint="eastAsia"/>
                    </w:rPr>
                    <w:sym w:font="Wingdings 2" w:char="00A3"/>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A3"/>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 xml:space="preserve">□政治 □监管  </w:t>
                  </w:r>
                  <w:r>
                    <w:rPr>
                      <w:rFonts w:hint="eastAsia"/>
                    </w:rPr>
                    <w:sym w:font="Wingdings 2" w:char="0052"/>
                  </w:r>
                  <w:r>
                    <w:rPr>
                      <w:rFonts w:hint="eastAsia"/>
                    </w:rPr>
                    <w:t>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vAlign w:val="top"/>
                </w:tcPr>
                <w:p>
                  <w:pPr>
                    <w:shd w:val="clear" w:color="auto" w:fill="EBF1DE" w:themeFill="accent3"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□知识 </w:t>
                  </w:r>
                  <w:r>
                    <w:rPr>
                      <w:rFonts w:hint="eastAsia"/>
                    </w:rPr>
                    <w:sym w:font="Wingdings 2" w:char="00A3"/>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sym w:font="Wingdings 2" w:char="0052"/>
                  </w:r>
                  <w:r>
                    <w:t>活动、产品和服务</w:t>
                  </w:r>
                  <w:r>
                    <w:rPr>
                      <w:rFonts w:hint="eastAsia"/>
                    </w:rPr>
                    <w:t xml:space="preserve"> □</w:t>
                  </w:r>
                  <w:r>
                    <w:t>战略方向</w:t>
                  </w:r>
                  <w:r>
                    <w:rPr>
                      <w:rFonts w:hint="eastAsia"/>
                    </w:rPr>
                    <w:t xml:space="preserve">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rPr>
              <w:sym w:font="Wingdings 2" w:char="00A3"/>
            </w:r>
            <w:r>
              <w:rPr>
                <w:rFonts w:hint="eastAsia"/>
              </w:rPr>
              <w:t>采购□人力资源□营销和市场</w:t>
            </w:r>
            <w:r>
              <w:rPr>
                <w:rFonts w:hint="eastAsia"/>
              </w:rPr>
              <w:sym w:font="Wingdings 2" w:char="0052"/>
            </w:r>
            <w:r>
              <w:rPr>
                <w:rFonts w:hint="eastAsia"/>
              </w:rPr>
              <w:t>生产□检验</w:t>
            </w:r>
            <w:r>
              <w:rPr>
                <w:rFonts w:hint="eastAsia"/>
              </w:rPr>
              <w:sym w:font="Wingdings 2" w:char="0052"/>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rPr>
              <w:sym w:font="Wingdings 2" w:char="0052"/>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widowControl/>
              <w:spacing w:before="40"/>
              <w:jc w:val="left"/>
              <w:rPr>
                <w:rFonts w:hint="eastAsia"/>
                <w:color w:val="000000"/>
                <w:szCs w:val="18"/>
              </w:rPr>
            </w:pPr>
            <w:r>
              <w:rPr>
                <w:rFonts w:hint="eastAsia"/>
              </w:rPr>
              <w:t>最高管理者制定了文件化的管理体系方针：</w:t>
            </w:r>
            <w:r>
              <w:rPr>
                <w:rFonts w:hint="eastAsia"/>
                <w:color w:val="000000"/>
                <w:szCs w:val="18"/>
              </w:rPr>
              <w:t xml:space="preserve">质量至上、持续创新、诚实守信、顾客至上 </w:t>
            </w:r>
          </w:p>
          <w:p>
            <w:pPr>
              <w:shd w:val="clear" w:color="auto" w:fill="EBF1DE" w:themeFill="accent3" w:themeFillTint="32"/>
            </w:pPr>
            <w:r>
              <w:rPr>
                <w:rFonts w:hint="eastAsia"/>
                <w:color w:val="000000"/>
                <w:szCs w:val="18"/>
              </w:rPr>
              <w:t>预防为主，降低风险；遵章守法，减污降耗</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国家政策改变、地理环境变化、外部环境变化</w:t>
                  </w:r>
                </w:p>
              </w:tc>
              <w:tc>
                <w:tcPr>
                  <w:tcW w:w="3965" w:type="dxa"/>
                  <w:vAlign w:val="top"/>
                </w:tcPr>
                <w:p>
                  <w:pPr>
                    <w:shd w:val="clear" w:color="auto" w:fill="EBF1DE" w:themeFill="accent3" w:themeFillTint="32"/>
                    <w:rPr>
                      <w:rFonts w:hint="default" w:ascii="Times New Roman" w:hAnsi="Times New Roman" w:eastAsia="宋体" w:cs="Times New Roman"/>
                      <w:kern w:val="2"/>
                      <w:sz w:val="21"/>
                      <w:szCs w:val="24"/>
                      <w:lang w:val="en-US" w:eastAsia="zh-CN" w:bidi="ar-SA"/>
                    </w:rPr>
                  </w:pPr>
                  <w:r>
                    <w:rPr>
                      <w:rFonts w:hint="eastAsia"/>
                      <w:lang w:val="en-US" w:eastAsia="zh-CN"/>
                    </w:rPr>
                    <w:t>遵守相关法律法规、采取各种环保措施</w:t>
                  </w:r>
                </w:p>
              </w:tc>
              <w:tc>
                <w:tcPr>
                  <w:tcW w:w="1717" w:type="dxa"/>
                  <w:vAlign w:val="top"/>
                </w:tcPr>
                <w:p>
                  <w:pPr>
                    <w:shd w:val="clear" w:color="auto" w:fill="EBF1DE" w:themeFill="accent3"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sym w:font="Wingdings 2" w:char="0052"/>
            </w:r>
            <w:r>
              <w:rPr>
                <w:rFonts w:hint="eastAsia"/>
              </w:rPr>
              <w:t>能源消耗□资源消耗</w:t>
            </w:r>
            <w:r>
              <w:rPr>
                <w:rFonts w:hint="eastAsia"/>
              </w:rPr>
              <w:sym w:font="Wingdings 2" w:char="0052"/>
            </w:r>
            <w:r>
              <w:rPr>
                <w:rFonts w:hint="eastAsia"/>
              </w:rPr>
              <w:t>废水排放</w:t>
            </w:r>
            <w:r>
              <w:rPr>
                <w:rFonts w:hint="eastAsia"/>
              </w:rPr>
              <w:sym w:font="Wingdings 2" w:char="0052"/>
            </w:r>
            <w:r>
              <w:rPr>
                <w:rFonts w:hint="eastAsia"/>
              </w:rPr>
              <w:t>废气排放</w:t>
            </w:r>
            <w:r>
              <w:rPr>
                <w:rFonts w:hint="eastAsia"/>
              </w:rPr>
              <w:sym w:font="Wingdings 2" w:char="0052"/>
            </w:r>
            <w:r>
              <w:rPr>
                <w:rFonts w:hint="eastAsia"/>
              </w:rPr>
              <w:t>粉尘排放□危废排放</w:t>
            </w:r>
            <w:r>
              <w:rPr>
                <w:rFonts w:hint="eastAsia"/>
              </w:rPr>
              <w:sym w:font="Wingdings 2" w:char="0052"/>
            </w:r>
            <w:r>
              <w:rPr>
                <w:rFonts w:hint="eastAsia"/>
              </w:rPr>
              <w:t>噪声排放□危化品泄露□压力容器爆炸</w:t>
            </w:r>
            <w:r>
              <w:rPr>
                <w:rFonts w:hint="eastAsia"/>
              </w:rPr>
              <w:sym w:font="Wingdings 2" w:char="0052"/>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sym w:font="Wingdings 2" w:char="0052"/>
            </w:r>
            <w:r>
              <w:rPr>
                <w:rFonts w:hint="eastAsia"/>
              </w:rPr>
              <w:t>安全生产许可证编号：</w:t>
            </w:r>
            <w:r>
              <w:rPr>
                <w:rFonts w:hint="eastAsia"/>
                <w:color w:val="000000"/>
                <w:szCs w:val="21"/>
                <w:u w:val="single"/>
                <w:lang w:val="en-US" w:eastAsia="zh-CN"/>
              </w:rPr>
              <w:t>WH安许证字｛2018｝0997号</w:t>
            </w:r>
          </w:p>
          <w:p>
            <w:pPr>
              <w:shd w:val="clear" w:color="auto" w:fill="EBF1DE" w:themeFill="accent3" w:themeFillTint="32"/>
            </w:pPr>
            <w:r>
              <w:rPr>
                <w:rFonts w:hint="eastAsia"/>
              </w:rPr>
              <w:sym w:font="Wingdings 2" w:char="0052"/>
            </w:r>
            <w:r>
              <w:rPr>
                <w:rFonts w:hint="eastAsia"/>
              </w:rPr>
              <w:t>排污许可证编号：</w:t>
            </w:r>
            <w:r>
              <w:rPr>
                <w:rFonts w:hint="eastAsia"/>
                <w:color w:val="000000"/>
                <w:szCs w:val="18"/>
                <w:lang w:val="en-US" w:eastAsia="zh-CN"/>
              </w:rPr>
              <w:t>9136068135205183XT001P</w:t>
            </w:r>
          </w:p>
          <w:p>
            <w:pPr>
              <w:shd w:val="clear" w:color="auto" w:fill="EBF1DE" w:themeFill="accent3" w:themeFillTint="32"/>
            </w:pPr>
            <w:r>
              <w:rPr>
                <w:rFonts w:hint="eastAsia"/>
              </w:rPr>
              <w:sym w:font="Wingdings 2" w:char="0052"/>
            </w:r>
            <w:r>
              <w:rPr>
                <w:rFonts w:hint="eastAsia"/>
              </w:rPr>
              <w:t>环境影响登记表日期：</w:t>
            </w:r>
          </w:p>
          <w:p>
            <w:pPr>
              <w:shd w:val="clear" w:color="auto" w:fill="EBF1DE" w:themeFill="accent3" w:themeFillTint="32"/>
            </w:pPr>
            <w:r>
              <w:rPr>
                <w:rFonts w:hint="eastAsia"/>
              </w:rPr>
              <w:sym w:font="Wingdings 2" w:char="0052"/>
            </w:r>
            <w:r>
              <w:rPr>
                <w:rFonts w:hint="eastAsia"/>
              </w:rPr>
              <w:t>环境影响报告表日期：</w:t>
            </w:r>
          </w:p>
          <w:p>
            <w:pPr>
              <w:shd w:val="clear" w:color="auto" w:fill="EBF1DE" w:themeFill="accent3" w:themeFillTint="32"/>
            </w:pPr>
            <w:r>
              <w:rPr>
                <w:rFonts w:hint="eastAsia"/>
              </w:rPr>
              <w:sym w:font="Wingdings 2" w:char="0052"/>
            </w:r>
            <w:r>
              <w:rPr>
                <w:rFonts w:hint="eastAsia"/>
              </w:rPr>
              <w:t>环境影响报告书日期：2015.12.28</w:t>
            </w:r>
          </w:p>
          <w:p>
            <w:pPr>
              <w:shd w:val="clear" w:color="auto" w:fill="EBF1DE" w:themeFill="accent3" w:themeFillTint="32"/>
              <w:rPr>
                <w:rFonts w:hint="default" w:eastAsia="宋体"/>
                <w:lang w:val="en-US" w:eastAsia="zh-CN"/>
              </w:rPr>
            </w:pPr>
            <w:r>
              <w:rPr>
                <w:rFonts w:hint="eastAsia"/>
              </w:rPr>
              <w:sym w:font="Wingdings 2" w:char="0052"/>
            </w:r>
            <w:r>
              <w:rPr>
                <w:rFonts w:hint="eastAsia"/>
              </w:rPr>
              <w:t>消防验收/备案证明日期：</w:t>
            </w:r>
            <w:r>
              <w:rPr>
                <w:rFonts w:hint="eastAsia"/>
                <w:lang w:val="en-US" w:eastAsia="zh-CN"/>
              </w:rPr>
              <w:t>2020.7.27</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sym w:font="Wingdings 2" w:char="0052"/>
            </w:r>
            <w:r>
              <w:rPr>
                <w:rFonts w:hint="eastAsia"/>
              </w:rPr>
              <w:t>污水处理</w:t>
            </w:r>
            <w:r>
              <w:rPr>
                <w:rFonts w:hint="eastAsia"/>
              </w:rPr>
              <w:sym w:font="Wingdings 2" w:char="0052"/>
            </w:r>
            <w:r>
              <w:rPr>
                <w:rFonts w:hint="eastAsia"/>
              </w:rPr>
              <w:t>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rPr>
                      <w:rFonts w:ascii="宋体" w:hAnsi="宋体"/>
                      <w:szCs w:val="21"/>
                    </w:rPr>
                  </w:pPr>
                  <w:r>
                    <w:rPr>
                      <w:rFonts w:hint="eastAsia" w:ascii="宋体" w:hAnsi="宋体"/>
                      <w:szCs w:val="21"/>
                    </w:rPr>
                    <w:t>固体废弃物分类处置</w:t>
                  </w:r>
                </w:p>
                <w:p>
                  <w:pPr>
                    <w:shd w:val="clear" w:color="auto" w:fill="EBF1DE" w:themeFill="accent3" w:themeFillTint="32"/>
                  </w:pPr>
                  <w:r>
                    <w:rPr>
                      <w:rFonts w:hint="eastAsia" w:ascii="宋体" w:hAnsi="宋体" w:cs="HAAPML+ºÚÌå"/>
                      <w:szCs w:val="21"/>
                    </w:rPr>
                    <w:t>噪声</w:t>
                  </w:r>
                </w:p>
              </w:tc>
              <w:tc>
                <w:tcPr>
                  <w:tcW w:w="3136" w:type="dxa"/>
                  <w:shd w:val="clear" w:color="auto" w:fill="auto"/>
                  <w:vAlign w:val="center"/>
                </w:tcPr>
                <w:p>
                  <w:pPr>
                    <w:shd w:val="clear" w:color="auto" w:fill="EBF1DE" w:themeFill="accent3" w:themeFillTint="32"/>
                    <w:rPr>
                      <w:lang w:val="en-GB"/>
                    </w:rPr>
                  </w:pPr>
                  <w:r>
                    <w:rPr>
                      <w:rFonts w:hint="eastAsia" w:ascii="楷体" w:hAnsi="楷体" w:eastAsia="楷体" w:cs="楷体"/>
                      <w:kern w:val="0"/>
                      <w:sz w:val="22"/>
                      <w:lang w:val="en-US" w:eastAsia="zh-CN"/>
                    </w:rPr>
                    <w:t>管理方案</w:t>
                  </w:r>
                </w:p>
              </w:tc>
              <w:tc>
                <w:tcPr>
                  <w:tcW w:w="1350" w:type="dxa"/>
                  <w:shd w:val="clear" w:color="auto" w:fill="auto"/>
                  <w:vAlign w:val="center"/>
                </w:tcPr>
                <w:p>
                  <w:pPr>
                    <w:shd w:val="clear" w:color="auto" w:fill="EBF1DE" w:themeFill="accent3" w:themeFillTint="32"/>
                    <w:rPr>
                      <w:rFonts w:hint="eastAsia" w:eastAsia="宋体"/>
                      <w:lang w:val="en-US" w:eastAsia="zh-CN"/>
                    </w:rPr>
                  </w:pPr>
                  <w:r>
                    <w:rPr>
                      <w:rFonts w:hint="eastAsia"/>
                      <w:lang w:val="en-US" w:eastAsia="zh-CN"/>
                    </w:rPr>
                    <w:t>行政部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宋体" w:hAnsi="宋体" w:cs="HAAPML+ºÚÌå"/>
                      <w:szCs w:val="21"/>
                    </w:rPr>
                    <w:t>粉尘达标排放</w:t>
                  </w:r>
                </w:p>
              </w:tc>
              <w:tc>
                <w:tcPr>
                  <w:tcW w:w="3136" w:type="dxa"/>
                  <w:shd w:val="clear" w:color="auto" w:fill="auto"/>
                  <w:vAlign w:val="center"/>
                </w:tcPr>
                <w:p>
                  <w:pPr>
                    <w:shd w:val="clear" w:color="auto" w:fill="EBF1DE" w:themeFill="accent3" w:themeFillTint="32"/>
                    <w:rPr>
                      <w:rFonts w:ascii="宋体" w:hAnsi="宋体"/>
                    </w:rPr>
                  </w:pPr>
                  <w:r>
                    <w:rPr>
                      <w:rFonts w:hint="eastAsia" w:ascii="楷体" w:hAnsi="楷体" w:eastAsia="楷体" w:cs="楷体"/>
                      <w:kern w:val="0"/>
                      <w:sz w:val="22"/>
                      <w:lang w:val="en-US" w:eastAsia="zh-CN"/>
                    </w:rPr>
                    <w:t>管理方案、应急预案</w:t>
                  </w:r>
                </w:p>
              </w:tc>
              <w:tc>
                <w:tcPr>
                  <w:tcW w:w="1350" w:type="dxa"/>
                  <w:shd w:val="clear" w:color="auto" w:fill="auto"/>
                  <w:vAlign w:val="center"/>
                </w:tcPr>
                <w:p>
                  <w:pPr>
                    <w:shd w:val="clear" w:color="auto" w:fill="EBF1DE" w:themeFill="accent3" w:themeFillTint="32"/>
                    <w:rPr>
                      <w:rFonts w:hint="default" w:ascii="宋体" w:hAnsi="宋体" w:eastAsia="宋体"/>
                      <w:lang w:val="en-US" w:eastAsia="zh-CN"/>
                    </w:rPr>
                  </w:pPr>
                  <w:r>
                    <w:rPr>
                      <w:rFonts w:hint="eastAsia" w:ascii="宋体" w:hAnsi="宋体"/>
                      <w:lang w:val="en-US" w:eastAsia="zh-CN"/>
                    </w:rPr>
                    <w:t>生产部</w:t>
                  </w:r>
                </w:p>
              </w:tc>
              <w:tc>
                <w:tcPr>
                  <w:tcW w:w="1774" w:type="dxa"/>
                  <w:shd w:val="clear" w:color="auto" w:fill="auto"/>
                  <w:vAlign w:val="center"/>
                </w:tcPr>
                <w:p>
                  <w:pPr>
                    <w:shd w:val="clear" w:color="auto" w:fill="EBF1DE" w:themeFill="accent3" w:themeFillTint="32"/>
                    <w:jc w:val="center"/>
                    <w:rPr>
                      <w:rFonts w:hint="eastAsia" w:ascii="宋体" w:hAnsi="宋体" w:eastAsia="宋体"/>
                      <w:lang w:val="en-US" w:eastAsia="zh-CN"/>
                    </w:rPr>
                  </w:pPr>
                  <w:r>
                    <w:rPr>
                      <w:rFonts w:hint="eastAsia" w:ascii="宋体" w:hAnsi="宋体"/>
                      <w:lang w:val="en-US" w:eastAsia="zh-CN"/>
                    </w:rPr>
                    <w:t>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lang w:eastAsia="zh-CN"/>
              </w:rPr>
              <w:sym w:font="Wingdings 2" w:char="0052"/>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lang w:eastAsia="zh-CN"/>
              </w:rPr>
              <w:sym w:font="Wingdings 2" w:char="0052"/>
            </w:r>
            <w:r>
              <w:rPr>
                <w:rFonts w:hint="eastAsia"/>
              </w:rPr>
              <w:t>人力资源</w:t>
            </w:r>
            <w:r>
              <w:rPr>
                <w:rFonts w:hint="eastAsia" w:ascii="Wingdings" w:hAnsi="Wingdings"/>
                <w:lang w:eastAsia="zh-CN"/>
              </w:rPr>
              <w:sym w:font="Wingdings 2" w:char="0052"/>
            </w:r>
            <w:r>
              <w:rPr>
                <w:rFonts w:hint="eastAsia"/>
              </w:rPr>
              <w:t>自然资源</w:t>
            </w:r>
            <w:r>
              <w:rPr>
                <w:rFonts w:hint="eastAsia" w:ascii="Wingdings" w:hAnsi="Wingdings"/>
                <w:lang w:eastAsia="zh-CN"/>
              </w:rPr>
              <w:sym w:font="Wingdings 2" w:char="0052"/>
            </w:r>
            <w:r>
              <w:rPr>
                <w:rFonts w:hint="eastAsia"/>
              </w:rPr>
              <w:t>基础设施</w:t>
            </w:r>
            <w:r>
              <w:rPr>
                <w:rFonts w:hint="eastAsia" w:ascii="Wingdings" w:hAnsi="Wingdings"/>
                <w:lang w:eastAsia="zh-CN"/>
              </w:rPr>
              <w:t>□</w:t>
            </w:r>
            <w:r>
              <w:rPr>
                <w:rFonts w:hint="eastAsia"/>
              </w:rPr>
              <w:t>技术</w:t>
            </w:r>
            <w:r>
              <w:rPr>
                <w:rFonts w:hint="eastAsia" w:ascii="Wingdings" w:hAnsi="Wingdings"/>
                <w:lang w:eastAsia="zh-CN"/>
              </w:rPr>
              <w:t>□</w:t>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11000</w:t>
            </w:r>
            <w:r>
              <w:rPr>
                <w:rFonts w:hint="eastAsia"/>
              </w:rPr>
              <w:t>平方米；生产车间</w:t>
            </w:r>
            <w:r>
              <w:rPr>
                <w:rFonts w:hint="eastAsia"/>
                <w:lang w:val="en-US" w:eastAsia="zh-CN"/>
              </w:rPr>
              <w:t>1</w:t>
            </w:r>
            <w:r>
              <w:rPr>
                <w:rFonts w:hint="eastAsia"/>
              </w:rPr>
              <w:t>个；库房</w:t>
            </w:r>
            <w:r>
              <w:rPr>
                <w:rFonts w:hint="eastAsia"/>
                <w:lang w:val="en-US" w:eastAsia="zh-CN"/>
              </w:rPr>
              <w:t>2</w:t>
            </w:r>
            <w:r>
              <w:rPr>
                <w:rFonts w:hint="eastAsia"/>
              </w:rPr>
              <w:t>个；实验室个；</w:t>
            </w:r>
          </w:p>
          <w:p>
            <w:pPr>
              <w:shd w:val="clear" w:color="auto" w:fill="EBF1DE" w:themeFill="accent3" w:themeFillTint="32"/>
              <w:rPr>
                <w:u w:val="single"/>
              </w:rPr>
            </w:pPr>
            <w:r>
              <w:rPr>
                <w:rFonts w:hint="eastAsia"/>
              </w:rPr>
              <w:t>主要生产设备有：</w:t>
            </w:r>
            <w:r>
              <w:rPr>
                <w:rFonts w:hint="eastAsia"/>
                <w:lang w:val="en-US" w:eastAsia="zh-CN"/>
              </w:rPr>
              <w:t>破</w:t>
            </w:r>
            <w:r>
              <w:rPr>
                <w:rFonts w:hint="eastAsia" w:ascii="宋体" w:hAnsi="宋体" w:cs="宋体"/>
                <w:b w:val="0"/>
                <w:sz w:val="21"/>
                <w:szCs w:val="21"/>
                <w:lang w:val="en-US" w:eastAsia="zh-CN"/>
              </w:rPr>
              <w:t>碎机、裂解炉，烟气发生炉，蒸馏釜、冷却塔，储罐</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污水站，除尘器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eastAsia="zh-CN"/>
              </w:rPr>
              <w:sym w:font="Wingdings 2" w:char="0052"/>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sym w:font="Wingdings 2" w:char="0052"/>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t>□</w:t>
            </w:r>
            <w:r>
              <w:rPr>
                <w:rFonts w:hint="eastAsia"/>
              </w:rPr>
              <w:t>不适用</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高压配电室</w:t>
            </w:r>
            <w:r>
              <w:rPr>
                <w:rFonts w:hint="eastAsia" w:ascii="Wingdings" w:hAnsi="Wingdings"/>
                <w:lang w:eastAsia="zh-CN"/>
              </w:rPr>
              <w:t>□</w:t>
            </w:r>
            <w:r>
              <w:rPr>
                <w:rFonts w:hint="eastAsia"/>
              </w:rPr>
              <w:t>低压配电室</w:t>
            </w:r>
            <w:r>
              <w:rPr>
                <w:rFonts w:hint="eastAsia" w:ascii="Wingdings" w:hAnsi="Wingdings"/>
                <w:lang w:eastAsia="zh-CN"/>
              </w:rPr>
              <w:t>□</w:t>
            </w:r>
            <w:r>
              <w:rPr>
                <w:rFonts w:hint="eastAsia"/>
              </w:rPr>
              <w:t>空压站</w:t>
            </w:r>
            <w:r>
              <w:rPr>
                <w:rFonts w:hint="eastAsia" w:ascii="Wingdings" w:hAnsi="Wingdings"/>
                <w:lang w:eastAsia="zh-CN"/>
              </w:rPr>
              <w:sym w:font="Wingdings 2" w:char="0052"/>
            </w:r>
            <w:r>
              <w:rPr>
                <w:rFonts w:hint="eastAsia"/>
              </w:rPr>
              <w:t>锅炉房</w:t>
            </w:r>
            <w:r>
              <w:rPr>
                <w:rFonts w:hint="eastAsia" w:ascii="Wingdings" w:hAnsi="Wingdings"/>
                <w:lang w:eastAsia="zh-CN"/>
              </w:rPr>
              <w:t>□</w:t>
            </w:r>
            <w:r>
              <w:rPr>
                <w:rFonts w:hint="eastAsia"/>
              </w:rPr>
              <w:t>食堂</w:t>
            </w:r>
            <w:r>
              <w:rPr>
                <w:rFonts w:hint="eastAsia" w:ascii="Wingdings" w:hAnsi="Wingdings"/>
                <w:lang w:eastAsia="zh-CN"/>
              </w:rPr>
              <w:t>□</w:t>
            </w:r>
            <w:r>
              <w:rPr>
                <w:rFonts w:hint="eastAsia"/>
              </w:rPr>
              <w:t>危化品库</w:t>
            </w:r>
          </w:p>
          <w:p>
            <w:pPr>
              <w:shd w:val="clear" w:color="auto" w:fill="EBF1DE" w:themeFill="accent3" w:themeFillTint="32"/>
              <w:ind w:firstLine="1050" w:firstLineChars="500"/>
            </w:pPr>
            <w:r>
              <w:rPr>
                <w:rFonts w:hint="eastAsia" w:ascii="Wingdings" w:hAnsi="Wingdings"/>
                <w:lang w:eastAsia="zh-CN"/>
              </w:rPr>
              <w:t>□</w:t>
            </w:r>
            <w:r>
              <w:rPr>
                <w:rFonts w:hint="eastAsia"/>
              </w:rPr>
              <w:t>危废库</w:t>
            </w:r>
            <w:r>
              <w:rPr>
                <w:rFonts w:hint="eastAsia" w:ascii="Wingdings" w:hAnsi="Wingdings"/>
                <w:lang w:eastAsia="zh-CN"/>
              </w:rPr>
              <w:t>□</w:t>
            </w:r>
            <w:r>
              <w:rPr>
                <w:rFonts w:hint="eastAsia"/>
              </w:rPr>
              <w:t>建筑施工</w:t>
            </w:r>
            <w:r>
              <w:rPr>
                <w:rFonts w:hint="eastAsia" w:ascii="Wingdings" w:hAnsi="Wingdings"/>
                <w:lang w:eastAsia="zh-CN"/>
              </w:rPr>
              <w:sym w:font="Wingdings 2" w:char="0052"/>
            </w:r>
            <w:r>
              <w:rPr>
                <w:rFonts w:hint="eastAsia"/>
              </w:rPr>
              <w:t>污水处理站</w:t>
            </w:r>
            <w:r>
              <w:rPr>
                <w:rFonts w:hint="eastAsia" w:ascii="Wingdings" w:hAnsi="Wingdings"/>
                <w:lang w:eastAsia="zh-CN"/>
              </w:rPr>
              <w:t>□</w:t>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lang w:eastAsia="zh-CN"/>
              </w:rPr>
              <w:t>□</w:t>
            </w:r>
            <w:r>
              <w:rPr>
                <w:rFonts w:hint="eastAsia"/>
              </w:rPr>
              <w:t>自校</w:t>
            </w:r>
            <w:r>
              <w:rPr>
                <w:rFonts w:hint="eastAsia" w:ascii="Wingdings" w:hAnsi="Wingdings"/>
                <w:lang w:eastAsia="zh-CN"/>
              </w:rPr>
              <w:sym w:font="Wingdings 2" w:char="0052"/>
            </w:r>
            <w:r>
              <w:rPr>
                <w:rFonts w:hint="eastAsia"/>
              </w:rPr>
              <w:t>外校</w:t>
            </w:r>
          </w:p>
          <w:p>
            <w:pPr>
              <w:shd w:val="clear" w:color="auto" w:fill="EBF1DE" w:themeFill="accent3" w:themeFillTint="32"/>
              <w:rPr>
                <w:u w:val="single"/>
              </w:rPr>
            </w:pPr>
            <w:r>
              <w:rPr>
                <w:rFonts w:hint="eastAsia"/>
              </w:rPr>
              <w:t>环境监测的计量器具有：</w:t>
            </w:r>
            <w:r>
              <w:rPr>
                <w:rFonts w:hint="eastAsia"/>
                <w:lang w:val="en-US" w:eastAsia="zh-CN"/>
              </w:rPr>
              <w:t>压力表</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进行了定期校准/检定</w:t>
            </w:r>
            <w:r>
              <w:rPr>
                <w:rFonts w:hint="eastAsia" w:ascii="Wingdings" w:hAnsi="Wingdings"/>
                <w:lang w:eastAsia="zh-CN"/>
              </w:rPr>
              <w:sym w:font="Wingdings 2" w:char="0052"/>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sym w:font="Wingdings 2" w:char="00A3"/>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特种设备作业人员：</w:t>
            </w:r>
            <w:r>
              <w:rPr>
                <w:rFonts w:hint="eastAsia" w:ascii="Wingdings" w:hAnsi="Wingdings"/>
                <w:lang w:eastAsia="zh-CN"/>
              </w:rPr>
              <w:sym w:font="Wingdings 2" w:char="0052"/>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sym w:font="Wingdings 2" w:char="0052"/>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A3"/>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 xml:space="preserve">MSDS   </w:t>
            </w:r>
            <w:r>
              <w:rPr>
                <w:rFonts w:hint="eastAsia" w:ascii="Wingdings" w:hAnsi="Wingdings"/>
                <w:lang w:eastAsia="zh-CN"/>
              </w:rPr>
              <w:t>□</w:t>
            </w:r>
            <w:r>
              <w:rPr>
                <w:rFonts w:hint="eastAsia"/>
              </w:rPr>
              <w:t>接收准则</w:t>
            </w:r>
            <w:r>
              <w:rPr>
                <w:rFonts w:hint="eastAsia" w:ascii="Wingdings" w:hAnsi="Wingdings"/>
                <w:lang w:eastAsia="zh-CN"/>
              </w:rPr>
              <w:sym w:font="Wingdings 2" w:char="00A3"/>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lang w:eastAsia="zh-CN"/>
              </w:rPr>
              <w:t>□</w:t>
            </w:r>
            <w:r>
              <w:rPr>
                <w:rFonts w:hint="eastAsia"/>
              </w:rPr>
              <w:t>Rohs</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EMS认证证书</w:t>
            </w:r>
            <w:r>
              <w:rPr>
                <w:rFonts w:hint="eastAsia" w:ascii="Wingdings" w:hAnsi="Wingdings"/>
                <w:lang w:eastAsia="zh-CN"/>
              </w:rPr>
              <w:t>□</w:t>
            </w:r>
            <w:r>
              <w:rPr>
                <w:rFonts w:hint="eastAsia"/>
              </w:rPr>
              <w:t>特殊包装</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sym w:font="Wingdings 2" w:char="0052"/>
            </w:r>
            <w:r>
              <w:rPr>
                <w:rFonts w:hint="eastAsia"/>
              </w:rPr>
              <w:t>委托加工</w:t>
            </w:r>
            <w:r>
              <w:rPr>
                <w:rFonts w:hint="eastAsia" w:ascii="Wingdings" w:hAnsi="Wingdings"/>
                <w:lang w:eastAsia="zh-CN"/>
              </w:rPr>
              <w:t>□</w:t>
            </w:r>
            <w:r>
              <w:rPr>
                <w:rFonts w:hint="eastAsia"/>
              </w:rPr>
              <w:t>施工</w:t>
            </w:r>
            <w:r>
              <w:rPr>
                <w:rFonts w:hint="eastAsia" w:ascii="Wingdings" w:hAnsi="Wingdings"/>
                <w:lang w:eastAsia="zh-CN"/>
              </w:rPr>
              <w:t>□</w:t>
            </w:r>
            <w:r>
              <w:rPr>
                <w:rFonts w:hint="eastAsia"/>
              </w:rPr>
              <w:t>设备维保</w:t>
            </w:r>
            <w:r>
              <w:rPr>
                <w:rFonts w:hint="eastAsia" w:ascii="Wingdings" w:hAnsi="Wingdings"/>
                <w:lang w:eastAsia="zh-CN"/>
              </w:rPr>
              <w:sym w:font="Wingdings 2" w:char="0052"/>
            </w:r>
            <w:r>
              <w:rPr>
                <w:rFonts w:hint="eastAsia"/>
              </w:rPr>
              <w:t>运输</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sym w:font="Wingdings 2" w:char="0052"/>
            </w:r>
            <w:r>
              <w:rPr>
                <w:rFonts w:hint="eastAsia"/>
              </w:rPr>
              <w:t>合同约定</w:t>
            </w:r>
            <w:r>
              <w:rPr>
                <w:rFonts w:hint="eastAsia" w:ascii="Wingdings" w:hAnsi="Wingdings"/>
                <w:lang w:eastAsia="zh-CN"/>
              </w:rPr>
              <w:sym w:font="Wingdings 2" w:char="0052"/>
            </w:r>
            <w:r>
              <w:rPr>
                <w:rFonts w:hint="eastAsia"/>
              </w:rPr>
              <w:t>危害告知</w:t>
            </w:r>
            <w:r>
              <w:rPr>
                <w:rFonts w:hint="eastAsia" w:ascii="Wingdings" w:hAnsi="Wingdings"/>
                <w:lang w:eastAsia="zh-CN"/>
              </w:rPr>
              <w:t>□</w:t>
            </w:r>
            <w:r>
              <w:rPr>
                <w:rFonts w:hint="eastAsia"/>
              </w:rPr>
              <w:t>现场检查</w:t>
            </w:r>
            <w:r>
              <w:rPr>
                <w:rFonts w:hint="eastAsia" w:ascii="Wingdings" w:hAnsi="Wingdings"/>
                <w:lang w:eastAsia="zh-CN"/>
              </w:rPr>
              <w:t>□</w:t>
            </w:r>
            <w:r>
              <w:rPr>
                <w:rFonts w:hint="eastAsia"/>
              </w:rPr>
              <w:t>专人跟踪</w:t>
            </w:r>
            <w:r>
              <w:rPr>
                <w:rFonts w:hint="eastAsia" w:ascii="Wingdings" w:hAnsi="Wingdings"/>
                <w:lang w:eastAsia="zh-CN"/>
              </w:rPr>
              <w:t>□</w:t>
            </w:r>
            <w:r>
              <w:rPr>
                <w:rFonts w:hint="eastAsia"/>
              </w:rPr>
              <w:t>出入控制</w:t>
            </w:r>
            <w:r>
              <w:rPr>
                <w:rFonts w:hint="eastAsia" w:ascii="Wingdings" w:hAnsi="Wingdings"/>
                <w:lang w:eastAsia="zh-CN"/>
              </w:rPr>
              <w:t>□</w:t>
            </w:r>
            <w:r>
              <w:rPr>
                <w:rFonts w:hint="eastAsia"/>
              </w:rPr>
              <w:t>其他</w:t>
            </w:r>
          </w:p>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rPr>
              <w:t>对外部供方的控制：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能源消耗</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资源消耗</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废水排放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废气排放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噪声排放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固废排放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粉尘排放</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rPr>
                      <w:rFonts w:ascii="Times New Roman" w:hAnsi="Times New Roman" w:eastAsia="宋体" w:cs="Times New Roman"/>
                      <w:kern w:val="2"/>
                      <w:sz w:val="21"/>
                      <w:szCs w:val="24"/>
                      <w:lang w:val="en-US" w:eastAsia="zh-CN" w:bidi="ar-SA"/>
                    </w:rPr>
                  </w:pPr>
                  <w:r>
                    <w:rPr>
                      <w:rFonts w:hint="eastAsia" w:ascii="宋体" w:hAnsi="宋体"/>
                      <w:szCs w:val="21"/>
                    </w:rPr>
                    <w:t>环境管理方案、运行控制程序</w:t>
                  </w:r>
                </w:p>
              </w:tc>
              <w:tc>
                <w:tcPr>
                  <w:tcW w:w="3265" w:type="dxa"/>
                  <w:vAlign w:val="top"/>
                </w:tcPr>
                <w:p>
                  <w:pPr>
                    <w:shd w:val="clear" w:color="auto" w:fill="EBF1DE" w:themeFill="accent3" w:themeFillTint="32"/>
                    <w:jc w:val="left"/>
                    <w:rPr>
                      <w:rFonts w:hint="eastAsia" w:ascii="Times New Roman" w:hAnsi="Times New Roman" w:eastAsia="宋体" w:cs="Times New Roman"/>
                      <w:kern w:val="2"/>
                      <w:sz w:val="21"/>
                      <w:szCs w:val="24"/>
                      <w:lang w:val="en-US" w:eastAsia="zh-CN" w:bidi="ar-SA"/>
                    </w:rPr>
                  </w:pPr>
                  <w:r>
                    <w:rPr>
                      <w:rFonts w:hint="eastAsia"/>
                      <w:lang w:val="en-US" w:eastAsia="zh-CN"/>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其他</w:t>
                  </w:r>
                </w:p>
              </w:tc>
              <w:tc>
                <w:tcPr>
                  <w:tcW w:w="3665" w:type="dxa"/>
                </w:tcPr>
                <w:p>
                  <w:pPr>
                    <w:shd w:val="clear" w:color="auto" w:fill="EBF1DE" w:themeFill="accent3" w:themeFillTint="32"/>
                    <w:jc w:val="left"/>
                  </w:pPr>
                </w:p>
              </w:tc>
              <w:tc>
                <w:tcPr>
                  <w:tcW w:w="3265"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lang w:eastAsia="zh-CN"/>
              </w:rPr>
              <w:sym w:font="Wingdings 2" w:char="0052"/>
            </w:r>
            <w:r>
              <w:rPr>
                <w:rFonts w:hint="eastAsia"/>
              </w:rPr>
              <w:t>进行了定期检验</w:t>
            </w:r>
            <w:r>
              <w:rPr>
                <w:rFonts w:hint="eastAsia" w:ascii="Wingdings" w:hAnsi="Wingdings"/>
                <w:lang w:eastAsia="zh-CN"/>
              </w:rPr>
              <w:t>□</w:t>
            </w:r>
            <w:r>
              <w:rPr>
                <w:rFonts w:hint="eastAsia"/>
              </w:rPr>
              <w:t>未进行定期检验的有：</w:t>
            </w:r>
          </w:p>
          <w:p>
            <w:pPr>
              <w:shd w:val="clear" w:color="auto" w:fill="EBF1DE" w:themeFill="accent3" w:themeFillTint="32"/>
            </w:pPr>
            <w:r>
              <w:rPr>
                <w:rFonts w:hint="eastAsia"/>
              </w:rPr>
              <w:t>特种设备检测报告，如：</w:t>
            </w:r>
            <w:r>
              <w:rPr>
                <w:rFonts w:hint="eastAsia"/>
                <w:lang w:val="en-US" w:eastAsia="zh-CN"/>
              </w:rPr>
              <w:t>锅炉检测报告</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lang w:eastAsia="zh-CN"/>
              </w:rPr>
              <w:t>□</w:t>
            </w:r>
            <w:r>
              <w:rPr>
                <w:rFonts w:hint="eastAsia"/>
              </w:rPr>
              <w:t>MSDS</w:t>
            </w:r>
            <w:r>
              <w:rPr>
                <w:rFonts w:hint="eastAsia" w:ascii="Wingdings" w:hAnsi="Wingdings"/>
                <w:lang w:eastAsia="zh-CN"/>
              </w:rPr>
              <w:t>□</w:t>
            </w:r>
            <w:r>
              <w:rPr>
                <w:rFonts w:hint="eastAsia"/>
              </w:rPr>
              <w:t>危害告知标牌</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lang w:eastAsia="zh-CN"/>
              </w:rPr>
              <w:t>□</w:t>
            </w:r>
            <w:r>
              <w:rPr>
                <w:rFonts w:hint="eastAsia"/>
              </w:rPr>
              <w:t>废物回收</w:t>
            </w:r>
            <w:r>
              <w:rPr>
                <w:rFonts w:hint="eastAsia" w:ascii="Wingdings" w:hAnsi="Wingdings"/>
                <w:lang w:eastAsia="zh-CN"/>
              </w:rPr>
              <w:sym w:font="Wingdings 2" w:char="0052"/>
            </w:r>
            <w:r>
              <w:rPr>
                <w:rFonts w:hint="eastAsia"/>
              </w:rPr>
              <w:t>最终处置</w:t>
            </w:r>
            <w:r>
              <w:rPr>
                <w:rFonts w:hint="eastAsia" w:ascii="Wingdings" w:hAnsi="Wingdings"/>
                <w:lang w:eastAsia="zh-CN"/>
              </w:rPr>
              <w:t>□</w:t>
            </w:r>
            <w:r>
              <w:rPr>
                <w:rFonts w:hint="eastAsia"/>
              </w:rPr>
              <w:t>其他</w:t>
            </w:r>
          </w:p>
          <w:p>
            <w:pPr>
              <w:shd w:val="clear" w:color="auto" w:fill="EBF1DE" w:themeFill="accent3"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pPr>
            <w:r>
              <w:rPr>
                <w:rFonts w:hint="eastAsia" w:ascii="Wingdings" w:hAnsi="Wingdings"/>
                <w:lang w:eastAsia="zh-CN"/>
              </w:rPr>
              <w:sym w:font="Wingdings 2" w:char="0052"/>
            </w:r>
            <w:r>
              <w:rPr>
                <w:rFonts w:hint="eastAsia"/>
              </w:rPr>
              <w:t>火灾控制</w:t>
            </w:r>
            <w:r>
              <w:rPr>
                <w:rFonts w:hint="eastAsia" w:ascii="Wingdings" w:hAnsi="Wingdings"/>
                <w:lang w:eastAsia="zh-CN"/>
              </w:rPr>
              <w:t>□</w:t>
            </w:r>
            <w:r>
              <w:rPr>
                <w:rFonts w:hint="eastAsia"/>
              </w:rPr>
              <w:t>危化品泄露</w:t>
            </w:r>
            <w:r>
              <w:rPr>
                <w:rFonts w:hint="eastAsia" w:ascii="Wingdings" w:hAnsi="Wingdings"/>
                <w:lang w:eastAsia="zh-CN"/>
              </w:rPr>
              <w:t>□</w:t>
            </w:r>
            <w:r>
              <w:rPr>
                <w:rFonts w:hint="eastAsia"/>
              </w:rPr>
              <w:t>锅炉爆炸</w:t>
            </w:r>
            <w:r>
              <w:rPr>
                <w:rFonts w:hint="eastAsia" w:ascii="Wingdings" w:hAnsi="Wingdings"/>
                <w:lang w:eastAsia="zh-CN"/>
              </w:rPr>
              <w:t>□</w:t>
            </w:r>
            <w:r>
              <w:rPr>
                <w:rFonts w:hint="eastAsia"/>
              </w:rPr>
              <w:t>环保设备故障</w:t>
            </w:r>
            <w:r>
              <w:rPr>
                <w:rFonts w:hint="eastAsia" w:ascii="Wingdings" w:hAnsi="Wingdings"/>
                <w:lang w:eastAsia="zh-CN"/>
              </w:rPr>
              <w:t>□</w:t>
            </w:r>
            <w:r>
              <w:rPr>
                <w:rFonts w:hint="eastAsia"/>
              </w:rPr>
              <w:t>停水停电</w:t>
            </w:r>
            <w:r>
              <w:rPr>
                <w:rFonts w:hint="eastAsia" w:ascii="Wingdings" w:hAnsi="Wingdings"/>
                <w:lang w:eastAsia="zh-CN"/>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lang w:eastAsia="zh-CN"/>
              </w:rPr>
              <w:sym w:font="Wingdings 2" w:char="0052"/>
            </w:r>
            <w:r>
              <w:rPr>
                <w:rFonts w:hint="eastAsia"/>
              </w:rPr>
              <w:t>未发生</w:t>
            </w:r>
            <w:r>
              <w:rPr>
                <w:rFonts w:hint="eastAsia" w:ascii="Wingdings" w:hAnsi="Wingdings"/>
                <w:lang w:eastAsia="zh-CN"/>
              </w:rPr>
              <w:t>□</w:t>
            </w:r>
            <w:r>
              <w:rPr>
                <w:rFonts w:hint="eastAsia"/>
              </w:rPr>
              <w:t>已发生：。</w:t>
            </w:r>
          </w:p>
          <w:p>
            <w:pPr>
              <w:shd w:val="clear" w:color="auto" w:fill="EBF1DE" w:themeFill="accent3" w:themeFillTint="32"/>
            </w:pPr>
          </w:p>
          <w:p>
            <w:pPr>
              <w:shd w:val="clear" w:color="auto" w:fill="EBF1DE" w:themeFill="accent3" w:themeFillTint="32"/>
            </w:pPr>
            <w:r>
              <w:rPr>
                <w:rFonts w:hint="eastAsia"/>
              </w:rPr>
              <w:t>于</w:t>
            </w:r>
            <w:r>
              <w:rPr>
                <w:rFonts w:hint="eastAsia"/>
                <w:lang w:val="en-US" w:eastAsia="zh-CN"/>
              </w:rPr>
              <w:t>2022年2月28日</w:t>
            </w:r>
            <w:r>
              <w:rPr>
                <w:rFonts w:hint="eastAsia"/>
              </w:rPr>
              <w:t>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rFonts w:hint="default" w:eastAsia="宋体"/>
                <w:lang w:val="en-US" w:eastAsia="zh-CN"/>
              </w:rPr>
            </w:pPr>
            <w:r>
              <w:rPr>
                <w:rFonts w:hint="eastAsia" w:ascii="Wingdings" w:hAnsi="Wingdings"/>
                <w:lang w:eastAsia="zh-CN"/>
              </w:rPr>
              <w:sym w:font="Wingdings 2" w:char="0052"/>
            </w:r>
            <w:r>
              <w:rPr>
                <w:rFonts w:hint="eastAsia"/>
              </w:rPr>
              <w:t>定期（每年）：</w:t>
            </w:r>
            <w:r>
              <w:rPr>
                <w:rFonts w:hint="eastAsia"/>
                <w:lang w:val="en-US" w:eastAsia="zh-CN"/>
              </w:rPr>
              <w:t>2022年1月24日</w:t>
            </w:r>
          </w:p>
          <w:p>
            <w:pPr>
              <w:shd w:val="clear" w:color="auto" w:fill="EBF1DE" w:themeFill="accent3" w:themeFillTint="32"/>
            </w:pPr>
            <w:r>
              <w:rPr>
                <w:rFonts w:hint="eastAsia" w:ascii="Wingdings" w:hAnsi="Wingdings"/>
                <w:lang w:eastAsia="zh-CN"/>
              </w:rPr>
              <w:t>□</w:t>
            </w:r>
            <w:r>
              <w:rPr>
                <w:rFonts w:hint="eastAsia"/>
              </w:rPr>
              <w:t>特殊情况（法规变化）：年月日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企业自检</w:t>
            </w:r>
            <w:r>
              <w:rPr>
                <w:rFonts w:hint="eastAsia" w:ascii="Wingdings" w:hAnsi="Wingdings"/>
                <w:lang w:eastAsia="zh-CN"/>
              </w:rPr>
              <w:sym w:font="Wingdings 2" w:char="0052"/>
            </w:r>
            <w:r>
              <w:rPr>
                <w:rFonts w:hint="eastAsia"/>
              </w:rPr>
              <w:t>第三方监测</w:t>
            </w:r>
            <w:r>
              <w:rPr>
                <w:rFonts w:hint="eastAsia" w:ascii="Wingdings" w:hAnsi="Wingdings"/>
                <w:lang w:eastAsia="zh-CN"/>
              </w:rPr>
              <w:t>□</w:t>
            </w:r>
            <w:r>
              <w:rPr>
                <w:rFonts w:hint="eastAsia"/>
              </w:rPr>
              <w:t>主管部门抽查</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ascii="宋体" w:hAnsi="宋体" w:cs="宋体"/>
                <w:szCs w:val="21"/>
                <w:lang w:val="en-US" w:eastAsia="zh-CN"/>
              </w:rPr>
              <w:t>中轩检测字【2021】JX210603C</w:t>
            </w:r>
            <w:r>
              <w:rPr>
                <w:rFonts w:hint="eastAsia"/>
              </w:rPr>
              <w:t>。</w:t>
            </w:r>
          </w:p>
          <w:p>
            <w:pPr>
              <w:shd w:val="clear" w:color="auto" w:fill="EBF1DE" w:themeFill="accent3" w:themeFillTint="32"/>
            </w:pPr>
            <w:r>
              <w:rPr>
                <w:rFonts w:hint="eastAsia"/>
              </w:rPr>
              <w:t>《建筑消防检测报告》编号：。</w:t>
            </w:r>
          </w:p>
          <w:p>
            <w:pPr>
              <w:shd w:val="clear" w:color="auto" w:fill="EBF1DE" w:themeFill="accent3" w:themeFillTint="32"/>
            </w:pPr>
            <w:r>
              <w:rPr>
                <w:rFonts w:hint="eastAsia"/>
              </w:rPr>
              <w:t>达标评价：</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2022年4月9日-10日</w:t>
            </w:r>
            <w:r>
              <w:rPr>
                <w:rFonts w:hint="eastAsia"/>
              </w:rPr>
              <w:t>实施了环境管理体系内部审核，对环境管理体系的符合性和有效性进行了审核。内审发现的</w:t>
            </w:r>
            <w:r>
              <w:rPr>
                <w:rFonts w:hint="eastAsia"/>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2022年4月20日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相关方投诉  </w:t>
            </w:r>
            <w:r>
              <w:rPr>
                <w:rFonts w:hint="eastAsia" w:ascii="Wingdings" w:hAnsi="Wingdings"/>
                <w:lang w:eastAsia="zh-CN"/>
              </w:rPr>
              <w:t>□</w:t>
            </w:r>
            <w:r>
              <w:rPr>
                <w:rFonts w:hint="eastAsia"/>
              </w:rPr>
              <w:t xml:space="preserve">主管部门要求整改 </w:t>
            </w:r>
          </w:p>
          <w:p>
            <w:pPr>
              <w:shd w:val="clear" w:color="auto" w:fill="EBF1DE" w:themeFill="accent3" w:themeFillTint="32"/>
              <w:rPr>
                <w:rFonts w:ascii="Times New Roman" w:hAnsi="Times New Roman" w:eastAsia="宋体" w:cs="Times New Roman"/>
                <w:kern w:val="2"/>
                <w:sz w:val="21"/>
                <w:szCs w:val="24"/>
                <w:lang w:val="en-US" w:eastAsia="zh-CN" w:bidi="ar-SA"/>
              </w:rPr>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8"/>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ascii="Times New Roman" w:hAnsi="Times New Roman" w:eastAsia="宋体" w:cs="Times New Roman"/>
                <w:kern w:val="2"/>
                <w:sz w:val="21"/>
                <w:szCs w:val="24"/>
                <w:highlight w:val="none"/>
                <w:lang w:val="en-US" w:eastAsia="ja-JP" w:bidi="ar-SA"/>
              </w:rPr>
            </w:pPr>
            <w:r>
              <w:rPr>
                <w:rFonts w:hint="eastAsia"/>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sz w:val="20"/>
          <w:szCs w:val="20"/>
        </w:rPr>
      </w:pPr>
      <w:r>
        <w:br w:type="page"/>
      </w:r>
      <w:bookmarkStart w:id="34" w:name="_GoBack"/>
      <w:bookmarkEnd w:id="34"/>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 w:name="HAAPML+ºÚÌå">
    <w:altName w:val="微软雅黑"/>
    <w:panose1 w:val="00000000000000000000"/>
    <w:charset w:val="01"/>
    <w:family w:val="auto"/>
    <w:pitch w:val="default"/>
    <w:sig w:usb0="00000000" w:usb1="00000000"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5"/>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QyZmQ4MWM5YTdlOTM3ZWEzMDQwZGU2MjkwZTUyZWYifQ=="/>
  </w:docVars>
  <w:rsids>
    <w:rsidRoot w:val="00000000"/>
    <w:rsid w:val="39E57EA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99"/>
  </w:style>
  <w:style w:type="paragraph" w:styleId="3">
    <w:name w:val="Balloon Text"/>
    <w:basedOn w:val="1"/>
    <w:link w:val="16"/>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customStyle="1" w:styleId="12">
    <w:name w:val="表格文字"/>
    <w:basedOn w:val="1"/>
    <w:qFormat/>
    <w:uiPriority w:val="0"/>
    <w:pPr>
      <w:spacing w:before="25" w:after="25"/>
    </w:pPr>
    <w:rPr>
      <w:bCs/>
      <w:spacing w:val="10"/>
    </w:rPr>
  </w:style>
  <w:style w:type="paragraph" w:styleId="13">
    <w:name w:val="List Paragraph"/>
    <w:basedOn w:val="1"/>
    <w:qFormat/>
    <w:uiPriority w:val="34"/>
    <w:pPr>
      <w:ind w:firstLine="420" w:firstLineChars="200"/>
    </w:pPr>
  </w:style>
  <w:style w:type="character" w:customStyle="1" w:styleId="14">
    <w:name w:val="页眉 Char1"/>
    <w:basedOn w:val="10"/>
    <w:link w:val="5"/>
    <w:qFormat/>
    <w:uiPriority w:val="99"/>
    <w:rPr>
      <w:rFonts w:ascii="Times New Roman" w:hAnsi="Times New Roman" w:eastAsia="宋体" w:cs="Times New Roman"/>
      <w:sz w:val="18"/>
      <w:szCs w:val="18"/>
    </w:rPr>
  </w:style>
  <w:style w:type="character" w:customStyle="1" w:styleId="15">
    <w:name w:val="页脚 Char"/>
    <w:basedOn w:val="10"/>
    <w:link w:val="4"/>
    <w:qFormat/>
    <w:uiPriority w:val="99"/>
    <w:rPr>
      <w:rFonts w:ascii="Times New Roman" w:hAnsi="Times New Roman" w:eastAsia="宋体" w:cs="Times New Roman"/>
      <w:sz w:val="18"/>
      <w:szCs w:val="18"/>
    </w:rPr>
  </w:style>
  <w:style w:type="character" w:customStyle="1" w:styleId="16">
    <w:name w:val="批注框文本 Char"/>
    <w:basedOn w:val="10"/>
    <w:link w:val="3"/>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5">
    <w:name w:val="Table Paragraph"/>
    <w:basedOn w:val="1"/>
    <w:qFormat/>
    <w:uiPriority w:val="99"/>
    <w:pPr>
      <w:jc w:val="left"/>
    </w:pPr>
    <w:rPr>
      <w:rFonts w:ascii="Calibri" w:hAnsi="Calibri"/>
      <w:kern w:val="0"/>
      <w:sz w:val="22"/>
      <w:szCs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18642</Words>
  <Characters>19409</Characters>
  <Lines>150</Lines>
  <Paragraphs>42</Paragraphs>
  <TotalTime>1</TotalTime>
  <ScaleCrop>false</ScaleCrop>
  <LinksUpToDate>false</LinksUpToDate>
  <CharactersWithSpaces>19530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2022-05-22T11:27:39Z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2052-11.1.0.11691</vt:lpwstr>
  </property>
</Properties>
</file>