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江西省正百科技有限公司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12.01.04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12.01.04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叶连英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分选→破碎→洗选→裂解→冷凝→收集→精馏→冷凝成品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裂解过程、精馏过程，控制温度、压力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2"/>
                <w:szCs w:val="28"/>
              </w:rPr>
              <w:t>中华人民共和国</w:t>
            </w:r>
            <w:r>
              <w:rPr>
                <w:rFonts w:hint="eastAsia"/>
                <w:sz w:val="22"/>
                <w:szCs w:val="28"/>
              </w:rPr>
              <w:t>产品质量法</w:t>
            </w:r>
            <w:r>
              <w:rPr>
                <w:rFonts w:hint="eastAsia"/>
                <w:sz w:val="22"/>
                <w:szCs w:val="28"/>
                <w:lang w:eastAsia="zh-CN"/>
              </w:rPr>
              <w:t>、中华人民共和国计量法、中华人民共和国标准化法、浇铸型工业有机玻璃板材GB/T 7134-2008、产品质量国家监督抽查管理办法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需要型式检验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174625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229870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江西省正百科技有限公司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12.01.04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12.01.04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叶连英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分选→破碎→洗选→裂解→冷凝→收集→精馏→冷凝成品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噪声排放、潜在火灾、固废排放、</w:t>
            </w:r>
            <w:bookmarkStart w:id="3" w:name="_GoBack"/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废水排放</w:t>
            </w:r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、废气排放、能源资源消耗；</w:t>
            </w:r>
            <w:r>
              <w:rPr>
                <w:rFonts w:hint="eastAsia"/>
                <w:b/>
                <w:sz w:val="20"/>
                <w:lang w:eastAsia="zh-CN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中华人民共和国环境影响评价法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258445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303530</wp:posOffset>
                  </wp:positionV>
                  <wp:extent cx="544830" cy="248920"/>
                  <wp:effectExtent l="0" t="0" r="3810" b="1016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402679F"/>
    <w:rsid w:val="203B46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614</Words>
  <Characters>674</Characters>
  <Lines>2</Lines>
  <Paragraphs>1</Paragraphs>
  <TotalTime>5</TotalTime>
  <ScaleCrop>false</ScaleCrop>
  <LinksUpToDate>false</LinksUpToDate>
  <CharactersWithSpaces>689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2022-05-05T14:12:27Z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