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0651-2019-E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宝鸡市东兴锻造有限公司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宝鸡市东兴锻造有限公司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陕西省宝鸡市高新开发区钓渭镇东崖村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721304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陕西省宝鸡市高新开发区钓渭镇东崖村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721304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赵晓伟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13319171360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赵晓伟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ind w:firstLine="602" w:firstLineChars="300"/>
              <w:rPr>
                <w:rFonts w:ascii="宋体"/>
                <w:b/>
                <w:color w:val="000000"/>
                <w:sz w:val="20"/>
                <w:szCs w:val="20"/>
              </w:rPr>
            </w:pPr>
            <w:bookmarkStart w:id="20" w:name="管理者代表"/>
            <w:r>
              <w:rPr>
                <w:rFonts w:ascii="宋体"/>
                <w:b/>
                <w:color w:val="000000"/>
                <w:sz w:val="20"/>
                <w:szCs w:val="20"/>
              </w:rPr>
              <w:t>曹勇杰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汽车变速箱用齿轮、轴类产品的锻造和机械加工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17.10.02;18.01.05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综合管理部、技术质量部、供销部、生产部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汽车变速箱用齿轮、轴类产品的锻造和机械加工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生产部、综合管理部、供销部、技术质量部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生产部、综合管理部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default" w:ascii="宋体" w:eastAsia="宋体"/>
                <w:color w:val="000000"/>
                <w:sz w:val="20"/>
                <w:szCs w:val="20"/>
                <w:lang w:val="en-US" w:eastAsia="zh-CN"/>
              </w:rPr>
            </w:pPr>
            <w:r>
              <w:rPr>
                <w:rFonts w:hint="eastAsia" w:ascii="宋体" w:hAnsi="宋体"/>
                <w:color w:val="000000"/>
                <w:sz w:val="20"/>
                <w:szCs w:val="20"/>
              </w:rPr>
              <w:t>受审核方位于：</w:t>
            </w:r>
            <w:r>
              <w:rPr>
                <w:rFonts w:hint="eastAsia" w:ascii="宋体" w:hAnsi="宋体"/>
                <w:color w:val="000000"/>
                <w:sz w:val="20"/>
                <w:szCs w:val="20"/>
                <w:lang w:val="en-US" w:eastAsia="zh-CN"/>
              </w:rPr>
              <w:t>陕西省宝鸡市高新开发区钓渭镇东崖村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宋体" w:hAnsi="宋体" w:cs="宋体"/>
                <w:kern w:val="1"/>
                <w:sz w:val="18"/>
                <w:szCs w:val="18"/>
              </w:rPr>
              <w:t>污水综合排放标准</w:t>
            </w:r>
            <w:r>
              <w:rPr>
                <w:rFonts w:hint="eastAsia" w:ascii="宋体" w:hAnsi="宋体" w:cs="宋体"/>
                <w:kern w:val="1"/>
                <w:sz w:val="18"/>
                <w:szCs w:val="18"/>
                <w:lang w:eastAsia="zh-CN"/>
              </w:rPr>
              <w:t>、</w:t>
            </w:r>
            <w:r>
              <w:rPr>
                <w:rFonts w:hint="eastAsia" w:ascii="宋体" w:hAnsi="宋体" w:cs="宋体"/>
                <w:kern w:val="1"/>
                <w:sz w:val="18"/>
                <w:szCs w:val="18"/>
              </w:rPr>
              <w:t>大气污染物综合排放标准</w:t>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"环境\\25社会生活环境噪声排放标准.pdf"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社会生活环境噪声排放标准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ascii="宋体" w:hAnsi="宋体" w:cs="宋体"/>
                <w:color w:val="000000"/>
                <w:kern w:val="1"/>
                <w:sz w:val="18"/>
                <w:szCs w:val="18"/>
                <w:u w:val="single"/>
              </w:rPr>
              <w:fldChar w:fldCharType="begin"/>
            </w:r>
            <w:r>
              <w:rPr>
                <w:rFonts w:ascii="宋体" w:hAnsi="宋体" w:cs="宋体"/>
                <w:color w:val="000000"/>
                <w:kern w:val="1"/>
                <w:sz w:val="18"/>
                <w:szCs w:val="18"/>
                <w:u w:val="single"/>
              </w:rPr>
              <w:instrText xml:space="preserve"> HYPERLINK "环境\\31声环境质量.pdf" </w:instrText>
            </w:r>
            <w:r>
              <w:rPr>
                <w:rFonts w:ascii="宋体" w:hAnsi="宋体" w:cs="宋体"/>
                <w:color w:val="000000"/>
                <w:kern w:val="1"/>
                <w:sz w:val="18"/>
                <w:szCs w:val="18"/>
                <w:u w:val="single"/>
              </w:rPr>
              <w:fldChar w:fldCharType="separate"/>
            </w:r>
            <w:r>
              <w:rPr>
                <w:rFonts w:hint="eastAsia" w:ascii="宋体" w:hAnsi="宋体" w:cs="宋体"/>
                <w:color w:val="000000"/>
                <w:kern w:val="1"/>
                <w:sz w:val="18"/>
                <w:szCs w:val="18"/>
              </w:rPr>
              <w:t>声环境质量</w:t>
            </w:r>
            <w:r>
              <w:rPr>
                <w:rFonts w:ascii="宋体" w:hAnsi="宋体" w:cs="宋体"/>
                <w:kern w:val="1"/>
                <w:sz w:val="18"/>
                <w:szCs w:val="18"/>
              </w:rPr>
              <w:t>标准</w:t>
            </w:r>
            <w:r>
              <w:rPr>
                <w:rFonts w:ascii="宋体" w:hAnsi="宋体" w:cs="宋体"/>
                <w:kern w:val="1"/>
                <w:sz w:val="18"/>
                <w:szCs w:val="18"/>
              </w:rPr>
              <w:fldChar w:fldCharType="end"/>
            </w:r>
            <w:r>
              <w:rPr>
                <w:rFonts w:hint="eastAsia" w:ascii="宋体" w:hAnsi="宋体" w:cs="宋体"/>
                <w:kern w:val="1"/>
                <w:sz w:val="18"/>
                <w:szCs w:val="18"/>
                <w:lang w:eastAsia="zh-CN"/>
              </w:rPr>
              <w:t>、</w:t>
            </w:r>
            <w:r>
              <w:rPr>
                <w:rFonts w:hint="eastAsia" w:ascii="宋体" w:hAnsi="宋体" w:cs="宋体"/>
                <w:color w:val="000000"/>
                <w:kern w:val="1"/>
                <w:sz w:val="18"/>
                <w:szCs w:val="18"/>
              </w:rPr>
              <w:t>一般工业固体废物贮存、处置场污染控制标准</w:t>
            </w:r>
            <w:r>
              <w:rPr>
                <w:rFonts w:hint="eastAsia" w:ascii="宋体" w:hAnsi="宋体" w:cs="宋体"/>
                <w:color w:val="000000"/>
                <w:kern w:val="1"/>
                <w:sz w:val="18"/>
                <w:szCs w:val="18"/>
                <w:lang w:eastAsia="zh-CN"/>
              </w:rPr>
              <w:t>、</w:t>
            </w:r>
            <w:r>
              <w:rPr>
                <w:rFonts w:ascii="宋体" w:hAnsi="宋体" w:cs="宋体"/>
                <w:kern w:val="1"/>
                <w:sz w:val="18"/>
                <w:szCs w:val="18"/>
              </w:rPr>
              <w:t>危险废物贮存污染控制标准</w:t>
            </w:r>
            <w:r>
              <w:rPr>
                <w:rFonts w:hint="eastAsia" w:ascii="宋体" w:hAnsi="宋体" w:cs="宋体"/>
                <w:kern w:val="1"/>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p>
            <w:pPr>
              <w:rPr>
                <w:rFonts w:ascii="宋体"/>
                <w:color w:val="000000"/>
                <w:sz w:val="20"/>
                <w:szCs w:val="20"/>
              </w:rPr>
            </w:pPr>
            <w:r>
              <w:rPr>
                <w:rFonts w:hint="eastAsia"/>
                <w:sz w:val="21"/>
                <w:szCs w:val="21"/>
              </w:rPr>
              <w:t>来料检验</w:t>
            </w:r>
            <w:r>
              <w:rPr>
                <w:rFonts w:hint="eastAsia" w:asciiTheme="minorEastAsia" w:hAnsiTheme="minorEastAsia"/>
                <w:sz w:val="21"/>
                <w:szCs w:val="21"/>
              </w:rPr>
              <w:t>→</w:t>
            </w:r>
            <w:r>
              <w:rPr>
                <w:rFonts w:hint="eastAsia" w:asciiTheme="minorEastAsia" w:hAnsiTheme="minorEastAsia"/>
                <w:sz w:val="21"/>
                <w:szCs w:val="21"/>
                <w:lang w:val="en-US" w:eastAsia="zh-CN"/>
              </w:rPr>
              <w:t>下料</w:t>
            </w:r>
            <w:r>
              <w:rPr>
                <w:rFonts w:hint="eastAsia" w:asciiTheme="minorEastAsia" w:hAnsiTheme="minorEastAsia"/>
                <w:sz w:val="21"/>
                <w:szCs w:val="21"/>
              </w:rPr>
              <w:t>→</w:t>
            </w:r>
            <w:r>
              <w:rPr>
                <w:rFonts w:hint="eastAsia" w:asciiTheme="minorEastAsia" w:hAnsiTheme="minorEastAsia"/>
                <w:sz w:val="21"/>
                <w:szCs w:val="21"/>
                <w:lang w:val="en-US" w:eastAsia="zh-CN"/>
              </w:rPr>
              <w:t>加热</w:t>
            </w:r>
            <w:r>
              <w:rPr>
                <w:rFonts w:hint="eastAsia" w:asciiTheme="minorEastAsia" w:hAnsiTheme="minorEastAsia"/>
                <w:sz w:val="21"/>
                <w:szCs w:val="21"/>
              </w:rPr>
              <w:t>→</w:t>
            </w:r>
            <w:r>
              <w:rPr>
                <w:rFonts w:hint="eastAsia" w:asciiTheme="minorEastAsia" w:hAnsiTheme="minorEastAsia"/>
                <w:sz w:val="21"/>
                <w:szCs w:val="21"/>
                <w:lang w:val="en-US" w:eastAsia="zh-CN"/>
              </w:rPr>
              <w:t>制坯</w:t>
            </w:r>
            <w:r>
              <w:rPr>
                <w:rFonts w:hint="eastAsia" w:asciiTheme="minorEastAsia" w:hAnsiTheme="minorEastAsia"/>
                <w:sz w:val="21"/>
                <w:szCs w:val="21"/>
              </w:rPr>
              <w:t>→</w:t>
            </w:r>
            <w:r>
              <w:rPr>
                <w:rFonts w:hint="eastAsia" w:asciiTheme="minorEastAsia" w:hAnsiTheme="minorEastAsia"/>
                <w:sz w:val="21"/>
                <w:szCs w:val="21"/>
                <w:lang w:val="en-US" w:eastAsia="zh-CN"/>
              </w:rPr>
              <w:t>锻压</w:t>
            </w:r>
            <w:r>
              <w:rPr>
                <w:rFonts w:hint="eastAsia" w:asciiTheme="minorEastAsia" w:hAnsiTheme="minorEastAsia"/>
                <w:sz w:val="21"/>
                <w:szCs w:val="21"/>
              </w:rPr>
              <w:t>→</w:t>
            </w:r>
            <w:r>
              <w:rPr>
                <w:rFonts w:hint="eastAsia" w:asciiTheme="minorEastAsia" w:hAnsiTheme="minorEastAsia"/>
                <w:sz w:val="21"/>
                <w:szCs w:val="21"/>
                <w:lang w:val="en-US" w:eastAsia="zh-CN"/>
              </w:rPr>
              <w:t>热切边</w:t>
            </w:r>
            <w:r>
              <w:rPr>
                <w:rFonts w:hint="eastAsia" w:asciiTheme="minorEastAsia" w:hAnsiTheme="minorEastAsia"/>
                <w:sz w:val="21"/>
                <w:szCs w:val="21"/>
              </w:rPr>
              <w:t>→</w:t>
            </w:r>
            <w:r>
              <w:rPr>
                <w:rFonts w:hint="eastAsia" w:asciiTheme="minorEastAsia" w:hAnsiTheme="minorEastAsia"/>
                <w:sz w:val="21"/>
                <w:szCs w:val="21"/>
                <w:lang w:val="en-US" w:eastAsia="zh-CN"/>
              </w:rPr>
              <w:t>热处理</w:t>
            </w:r>
            <w:r>
              <w:rPr>
                <w:rFonts w:hint="eastAsia" w:asciiTheme="minorEastAsia" w:hAnsiTheme="minorEastAsia"/>
                <w:sz w:val="21"/>
                <w:szCs w:val="21"/>
              </w:rPr>
              <w:t>→</w:t>
            </w:r>
            <w:r>
              <w:rPr>
                <w:rFonts w:hint="eastAsia" w:asciiTheme="minorEastAsia" w:hAnsiTheme="minorEastAsia"/>
                <w:sz w:val="21"/>
                <w:szCs w:val="21"/>
                <w:lang w:val="en-US" w:eastAsia="zh-CN"/>
              </w:rPr>
              <w:t>抛丸</w:t>
            </w:r>
            <w:r>
              <w:rPr>
                <w:rFonts w:hint="eastAsia" w:asciiTheme="minorEastAsia" w:hAnsiTheme="minorEastAsia"/>
                <w:sz w:val="21"/>
                <w:szCs w:val="21"/>
              </w:rPr>
              <w:t>→</w:t>
            </w:r>
            <w:r>
              <w:rPr>
                <w:rFonts w:hint="eastAsia" w:asciiTheme="minorEastAsia" w:hAnsiTheme="minorEastAsia"/>
                <w:sz w:val="21"/>
                <w:szCs w:val="21"/>
                <w:lang w:val="en-US" w:eastAsia="zh-CN"/>
              </w:rPr>
              <w:t>修毛刺</w:t>
            </w:r>
            <w:r>
              <w:rPr>
                <w:rFonts w:hint="eastAsia" w:asciiTheme="minorEastAsia" w:hAnsiTheme="minorEastAsia"/>
                <w:sz w:val="21"/>
                <w:szCs w:val="21"/>
              </w:rPr>
              <w:t>→</w:t>
            </w:r>
            <w:r>
              <w:rPr>
                <w:rFonts w:hint="eastAsia" w:asciiTheme="minorEastAsia" w:hAnsiTheme="minorEastAsia"/>
                <w:sz w:val="21"/>
                <w:szCs w:val="21"/>
                <w:lang w:val="en-US" w:eastAsia="zh-CN"/>
              </w:rPr>
              <w:t>检验</w:t>
            </w:r>
            <w:r>
              <w:rPr>
                <w:rFonts w:hint="eastAsia" w:asciiTheme="minorEastAsia" w:hAnsiTheme="minorEastAsia"/>
                <w:sz w:val="21"/>
                <w:szCs w:val="21"/>
              </w:rPr>
              <w:t>→</w:t>
            </w:r>
            <w:r>
              <w:rPr>
                <w:rFonts w:hint="eastAsia" w:asciiTheme="minorEastAsia" w:hAnsiTheme="minorEastAsia"/>
                <w:sz w:val="21"/>
                <w:szCs w:val="21"/>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锯床、中频炉、螺旋压力机、冲床、正火炉、抛丸机、粗车数控机床等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钢卷尺、卡尺等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eastAsia="宋体" w:cs="宋体"/>
                <w:color w:val="000000"/>
                <w:kern w:val="0"/>
                <w:sz w:val="19"/>
                <w:szCs w:val="19"/>
                <w:lang w:val="en-US" w:eastAsia="zh-CN" w:bidi="ar"/>
              </w:rPr>
              <w:t>潜在的火灾、固废排放、</w:t>
            </w:r>
            <w:r>
              <w:rPr>
                <w:rFonts w:hint="eastAsia" w:ascii="宋体" w:hAnsi="宋体" w:cs="宋体"/>
                <w:color w:val="000000"/>
                <w:kern w:val="0"/>
                <w:sz w:val="19"/>
                <w:szCs w:val="19"/>
                <w:lang w:val="en-US" w:eastAsia="zh-CN" w:bidi="ar"/>
              </w:rPr>
              <w:t>电能消耗、资源消耗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hAnsi="宋体" w:eastAsia="宋体" w:cs="宋体"/>
                <w:color w:val="000000"/>
                <w:kern w:val="0"/>
                <w:sz w:val="19"/>
                <w:szCs w:val="19"/>
                <w:lang w:val="en-US" w:eastAsia="zh-CN" w:bidi="ar"/>
              </w:rPr>
              <w:t>物体打击应急预案、火灾应急预案、机械伤害应急预案、</w:t>
            </w:r>
            <w:r>
              <w:rPr>
                <w:rFonts w:hint="eastAsia" w:ascii="宋体" w:hAnsi="宋体" w:eastAsia="宋体" w:cs="宋体"/>
                <w:color w:val="000000"/>
                <w:kern w:val="0"/>
                <w:sz w:val="21"/>
                <w:szCs w:val="21"/>
                <w:lang w:val="en-US" w:eastAsia="zh-CN" w:bidi="ar"/>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生产部、综合管理部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keepNext w:val="0"/>
              <w:keepLines w:val="0"/>
              <w:widowControl/>
              <w:suppressLineNumbers w:val="0"/>
              <w:jc w:val="left"/>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公司于 </w:t>
            </w:r>
            <w:r>
              <w:rPr>
                <w:rFonts w:hint="default" w:ascii="Times New Roman" w:hAnsi="Times New Roman" w:eastAsia="宋体" w:cs="Times New Roman"/>
                <w:color w:val="000000"/>
                <w:kern w:val="0"/>
                <w:sz w:val="21"/>
                <w:szCs w:val="21"/>
                <w:lang w:val="en-US" w:eastAsia="zh-CN" w:bidi="ar"/>
              </w:rPr>
              <w:t>2019.</w:t>
            </w:r>
            <w:r>
              <w:rPr>
                <w:rFonts w:hint="eastAsia" w:ascii="Times New Roman" w:hAnsi="Times New Roman" w:cs="Times New Roman"/>
                <w:color w:val="000000"/>
                <w:kern w:val="0"/>
                <w:sz w:val="21"/>
                <w:szCs w:val="21"/>
                <w:lang w:val="en-US" w:eastAsia="zh-CN" w:bidi="ar"/>
              </w:rPr>
              <w:t>11.25-26</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进行一次内审，提供了内审计划、内审记录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不符合报告、内审报告等，发现了 </w:t>
            </w:r>
            <w:r>
              <w:rPr>
                <w:rFonts w:hint="default" w:ascii="Times New Roman" w:hAnsi="Times New Roman" w:eastAsia="宋体" w:cs="Times New Roman"/>
                <w:color w:val="000000"/>
                <w:kern w:val="0"/>
                <w:sz w:val="21"/>
                <w:szCs w:val="21"/>
                <w:lang w:val="en-US" w:eastAsia="zh-CN" w:bidi="ar"/>
              </w:rPr>
              <w:t xml:space="preserve">1 </w:t>
            </w:r>
            <w:r>
              <w:rPr>
                <w:rFonts w:hint="eastAsia" w:ascii="宋体" w:hAnsi="宋体" w:eastAsia="宋体" w:cs="宋体"/>
                <w:color w:val="000000"/>
                <w:kern w:val="0"/>
                <w:sz w:val="21"/>
                <w:szCs w:val="21"/>
                <w:lang w:val="en-US" w:eastAsia="zh-CN" w:bidi="ar"/>
              </w:rPr>
              <w:t>项不符合项，具体内容见审核记录</w:t>
            </w:r>
            <w:r>
              <w:rPr>
                <w:rFonts w:hint="eastAsia" w:ascii="宋体" w:hAnsi="宋体" w:eastAsia="宋体" w:cs="宋体"/>
                <w:b/>
                <w:color w:val="000000"/>
                <w:kern w:val="0"/>
                <w:sz w:val="19"/>
                <w:szCs w:val="19"/>
                <w:lang w:val="en-US" w:eastAsia="zh-CN" w:bidi="ar"/>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hAnsi="宋体"/>
                <w:b/>
                <w:color w:val="000000"/>
                <w:sz w:val="20"/>
                <w:szCs w:val="20"/>
              </w:rPr>
              <w:t>了解内审结论是什么？</w:t>
            </w:r>
            <w:r>
              <w:rPr>
                <w:rFonts w:hint="eastAsia" w:ascii="宋体" w:hAnsi="宋体" w:eastAsia="宋体" w:cs="宋体"/>
                <w:color w:val="000000"/>
                <w:kern w:val="0"/>
                <w:sz w:val="21"/>
                <w:szCs w:val="21"/>
                <w:lang w:val="en-US" w:eastAsia="zh-CN" w:bidi="ar"/>
              </w:rPr>
              <w:t xml:space="preserve">基本符合计划安排和标准的要求，并得到了较有效实施和保持，仍 </w:t>
            </w:r>
          </w:p>
          <w:p>
            <w:pPr>
              <w:spacing w:line="260" w:lineRule="exact"/>
              <w:rPr>
                <w:rFonts w:ascii="宋体"/>
                <w:b/>
                <w:color w:val="000000"/>
                <w:sz w:val="20"/>
                <w:szCs w:val="20"/>
              </w:rPr>
            </w:pPr>
            <w:r>
              <w:rPr>
                <w:rFonts w:hint="eastAsia" w:ascii="宋体" w:hAnsi="宋体" w:eastAsia="宋体" w:cs="宋体"/>
                <w:color w:val="000000"/>
                <w:kern w:val="0"/>
                <w:sz w:val="21"/>
                <w:szCs w:val="21"/>
                <w:lang w:val="en-US" w:eastAsia="zh-CN" w:bidi="ar"/>
              </w:rPr>
              <w:t>需进一步改进。</w:t>
            </w:r>
            <w:r>
              <w:rPr>
                <w:rFonts w:hint="eastAsia" w:ascii="宋体" w:hAnsi="宋体" w:eastAsia="宋体" w:cs="宋体"/>
                <w:b/>
                <w:color w:val="000000"/>
                <w:kern w:val="0"/>
                <w:sz w:val="19"/>
                <w:szCs w:val="19"/>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keepNext w:val="0"/>
              <w:keepLines w:val="0"/>
              <w:widowControl/>
              <w:suppressLineNumbers w:val="0"/>
              <w:jc w:val="left"/>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default" w:ascii="Times New Roman" w:hAnsi="Times New Roman" w:eastAsia="宋体" w:cs="Times New Roman"/>
                <w:color w:val="000000"/>
                <w:kern w:val="0"/>
                <w:sz w:val="21"/>
                <w:szCs w:val="21"/>
                <w:lang w:val="en-US" w:eastAsia="zh-CN" w:bidi="ar"/>
              </w:rPr>
              <w:t>2019.</w:t>
            </w:r>
            <w:r>
              <w:rPr>
                <w:rFonts w:hint="eastAsia" w:ascii="Times New Roman" w:hAnsi="Times New Roman" w:cs="Times New Roman"/>
                <w:color w:val="000000"/>
                <w:kern w:val="0"/>
                <w:sz w:val="21"/>
                <w:szCs w:val="21"/>
                <w:lang w:val="en-US" w:eastAsia="zh-CN" w:bidi="ar"/>
              </w:rPr>
              <w:t>12.2</w:t>
            </w:r>
            <w:r>
              <w:rPr>
                <w:rFonts w:hint="eastAsia" w:ascii="宋体" w:hAnsi="宋体" w:eastAsia="宋体" w:cs="宋体"/>
                <w:color w:val="000000"/>
                <w:kern w:val="0"/>
                <w:sz w:val="21"/>
                <w:szCs w:val="21"/>
                <w:lang w:val="en-US" w:eastAsia="zh-CN" w:bidi="ar"/>
              </w:rPr>
              <w:t xml:space="preserve">召开了管理评审会议，由总经理主持。提供管理评审报 </w:t>
            </w:r>
          </w:p>
          <w:p>
            <w:pPr>
              <w:spacing w:line="260" w:lineRule="exact"/>
              <w:rPr>
                <w:rFonts w:ascii="宋体"/>
                <w:b/>
                <w:color w:val="000000"/>
                <w:sz w:val="20"/>
                <w:szCs w:val="20"/>
              </w:rPr>
            </w:pPr>
            <w:r>
              <w:rPr>
                <w:rFonts w:hint="eastAsia" w:ascii="宋体" w:hAnsi="宋体" w:eastAsia="宋体" w:cs="宋体"/>
                <w:color w:val="000000"/>
                <w:kern w:val="0"/>
                <w:sz w:val="21"/>
                <w:szCs w:val="21"/>
                <w:lang w:val="en-US" w:eastAsia="zh-CN" w:bidi="ar"/>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widowControl/>
              <w:suppressLineNumbers w:val="0"/>
              <w:jc w:val="left"/>
            </w:pPr>
            <w:r>
              <w:rPr>
                <w:rFonts w:hint="eastAsia" w:ascii="宋体" w:eastAsia="宋体"/>
                <w:b/>
                <w:color w:val="000000"/>
                <w:sz w:val="20"/>
                <w:szCs w:val="20"/>
                <w:lang w:eastAsia="zh-CN"/>
              </w:rPr>
              <w:drawing>
                <wp:anchor distT="0" distB="0" distL="114300" distR="114300" simplePos="0" relativeHeight="251658240" behindDoc="0" locked="0" layoutInCell="1" allowOverlap="1">
                  <wp:simplePos x="0" y="0"/>
                  <wp:positionH relativeFrom="column">
                    <wp:posOffset>-969010</wp:posOffset>
                  </wp:positionH>
                  <wp:positionV relativeFrom="paragraph">
                    <wp:posOffset>-26670</wp:posOffset>
                  </wp:positionV>
                  <wp:extent cx="6294120" cy="8849360"/>
                  <wp:effectExtent l="0" t="0" r="5080" b="2540"/>
                  <wp:wrapNone/>
                  <wp:docPr id="1" name="图片 1" descr="新文档 2019-12-16 17.51.17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16 17.51.17_10"/>
                          <pic:cNvPicPr>
                            <a:picLocks noChangeAspect="1"/>
                          </pic:cNvPicPr>
                        </pic:nvPicPr>
                        <pic:blipFill>
                          <a:blip r:embed="rId6"/>
                          <a:stretch>
                            <a:fillRect/>
                          </a:stretch>
                        </pic:blipFill>
                        <pic:spPr>
                          <a:xfrm>
                            <a:off x="0" y="0"/>
                            <a:ext cx="6294120" cy="8849360"/>
                          </a:xfrm>
                          <a:prstGeom prst="rect">
                            <a:avLst/>
                          </a:prstGeom>
                        </pic:spPr>
                      </pic:pic>
                    </a:graphicData>
                  </a:graphic>
                </wp:anchor>
              </w:drawing>
            </w: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宋体"/>
                <w:color w:val="000000"/>
                <w:kern w:val="0"/>
                <w:sz w:val="21"/>
                <w:szCs w:val="21"/>
                <w:lang w:val="en-US" w:eastAsia="zh-CN" w:bidi="ar"/>
              </w:rPr>
              <w:t xml:space="preserve">公司各部门基本按照管理体系标准要求实施已初步取得良好的效果。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公司方针、目标及管理方案、管理体系文件、环境控制等符合公司目前发展状况，所配备的各类资源基本满足管理体系要求。公司环境管理体系基本是充分、有效和适宜的。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2019.11.24</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bookmarkStart w:id="24" w:name="_GoBack"/>
      <w:r>
        <w:rPr>
          <w:rFonts w:hint="eastAsia" w:eastAsia="隶书"/>
          <w:color w:val="000000"/>
          <w:sz w:val="32"/>
          <w:szCs w:val="32"/>
        </w:rPr>
        <w:drawing>
          <wp:anchor distT="0" distB="0" distL="114300" distR="114300" simplePos="0" relativeHeight="251659264" behindDoc="0" locked="0" layoutInCell="1" allowOverlap="1">
            <wp:simplePos x="0" y="0"/>
            <wp:positionH relativeFrom="column">
              <wp:posOffset>-94615</wp:posOffset>
            </wp:positionH>
            <wp:positionV relativeFrom="paragraph">
              <wp:posOffset>-17780</wp:posOffset>
            </wp:positionV>
            <wp:extent cx="6572885" cy="8392160"/>
            <wp:effectExtent l="0" t="0" r="5715" b="2540"/>
            <wp:wrapNone/>
            <wp:docPr id="3" name="图片 3" descr="新文档 2019-12-16 17.51.1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12-16 17.51.17_11"/>
                    <pic:cNvPicPr>
                      <a:picLocks noChangeAspect="1"/>
                    </pic:cNvPicPr>
                  </pic:nvPicPr>
                  <pic:blipFill>
                    <a:blip r:embed="rId7"/>
                    <a:stretch>
                      <a:fillRect/>
                    </a:stretch>
                  </pic:blipFill>
                  <pic:spPr>
                    <a:xfrm>
                      <a:off x="0" y="0"/>
                      <a:ext cx="6572885" cy="8392160"/>
                    </a:xfrm>
                    <a:prstGeom prst="rect">
                      <a:avLst/>
                    </a:prstGeom>
                  </pic:spPr>
                </pic:pic>
              </a:graphicData>
            </a:graphic>
          </wp:anchor>
        </w:drawing>
      </w:r>
      <w:bookmarkEnd w:id="24"/>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eastAsia="隶书"/>
          <w:color w:val="000000"/>
          <w:sz w:val="28"/>
          <w:szCs w:val="28"/>
          <w:lang w:val="en-US" w:eastAsia="zh-CN"/>
        </w:rPr>
        <w:t>宝鸡市东兴锻造有限公司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管理评审相关资料时间与签到表日期不一致</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12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李俐 </w:t>
            </w:r>
            <w:r>
              <w:rPr>
                <w:rFonts w:hint="eastAsia"/>
                <w:b/>
                <w:color w:val="000000"/>
                <w:sz w:val="22"/>
                <w:szCs w:val="22"/>
              </w:rPr>
              <w:t>日期：</w:t>
            </w:r>
            <w:r>
              <w:rPr>
                <w:rFonts w:hint="eastAsia"/>
                <w:b/>
                <w:color w:val="000000"/>
                <w:sz w:val="22"/>
                <w:szCs w:val="22"/>
                <w:lang w:val="en-US" w:eastAsia="zh-CN"/>
              </w:rPr>
              <w:t>2019.12.12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473C30"/>
    <w:rsid w:val="4B786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2019-12-17T02:51:17Z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