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宝鸡市东兴锻造有限公司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17.10.02;18.01.05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17.10.02;18.01.05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17.10.02;18.01.05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1.汽车齿轮的锻造和粗加工，主要生产工艺：下料、加热、锻打、热处理、表面清理，机械加工。2汽车支架类的铸造生产，主要生产工艺：混砂、造型、熔化浇注、清理。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1.风险：清理过程的扬尘和熔化浇注过程的有害气体。2.控制措施：布袋式除尘及活性碳吸附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重要环境危险是</w:t>
            </w:r>
            <w:r>
              <w:rPr>
                <w:rFonts w:hint="eastAsia"/>
                <w:b/>
                <w:sz w:val="20"/>
                <w:lang w:val="en-US" w:eastAsia="zh-CN"/>
              </w:rPr>
              <w:t>大气污染、固体废弃物、电能消耗、资源消耗</w:t>
            </w:r>
            <w:r>
              <w:rPr>
                <w:rFonts w:hint="eastAsia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控制措施有布袋式除尘及活性碳吸附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顾客的技术协议（含产品技术特性）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检验和试验项目：机械性能、金相、尺寸和外观粗糙度，要求为顾客的技术协议（含产品技术特性）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2019.12.12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2019.12.12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0A32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2019-12-14T06:05:07Z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