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shd w:val="clear" w:color="auto" w:fill="EBF1DE" w:themeFill="accent3" w:themeFillTint="32"/>
            <w:vAlign w:val="center"/>
          </w:tcPr>
          <w:p>
            <w:pPr>
              <w:jc w:val="center"/>
              <w:rPr>
                <w:bCs/>
                <w:sz w:val="24"/>
              </w:rPr>
            </w:pPr>
            <w:r>
              <w:rPr>
                <w:rFonts w:hint="eastAsia"/>
                <w:bCs/>
                <w:sz w:val="24"/>
              </w:rPr>
              <w:t>组织名称</w:t>
            </w:r>
          </w:p>
        </w:tc>
        <w:tc>
          <w:tcPr>
            <w:tcW w:w="3812" w:type="dxa"/>
            <w:gridSpan w:val="5"/>
            <w:shd w:val="clear" w:color="auto" w:fill="EBF1DE" w:themeFill="accent3" w:themeFillTint="32"/>
            <w:vAlign w:val="center"/>
          </w:tcPr>
          <w:p>
            <w:pPr>
              <w:rPr>
                <w:rFonts w:ascii="宋体" w:cs="宋体"/>
                <w:bCs/>
                <w:sz w:val="24"/>
              </w:rPr>
            </w:pPr>
            <w:bookmarkStart w:id="0" w:name="组织名称"/>
            <w:r>
              <w:rPr>
                <w:rFonts w:ascii="宋体" w:cs="宋体"/>
                <w:bCs/>
                <w:sz w:val="24"/>
              </w:rPr>
              <w:t>建德市方军农产品配送有限公司</w:t>
            </w:r>
            <w:bookmarkEnd w:id="0"/>
          </w:p>
        </w:tc>
        <w:tc>
          <w:tcPr>
            <w:tcW w:w="1948" w:type="dxa"/>
            <w:gridSpan w:val="5"/>
            <w:shd w:val="clear" w:color="auto" w:fill="EBF1DE" w:themeFill="accent3" w:themeFillTint="32"/>
            <w:vAlign w:val="center"/>
          </w:tcPr>
          <w:p>
            <w:pPr>
              <w:jc w:val="center"/>
              <w:rPr>
                <w:rFonts w:ascii="宋体"/>
                <w:bCs/>
                <w:sz w:val="24"/>
              </w:rPr>
            </w:pPr>
            <w:r>
              <w:rPr>
                <w:rFonts w:hint="eastAsia" w:ascii="宋体" w:hAnsi="宋体"/>
                <w:bCs/>
                <w:sz w:val="24"/>
              </w:rPr>
              <w:t>认证合同号</w:t>
            </w:r>
          </w:p>
        </w:tc>
        <w:tc>
          <w:tcPr>
            <w:tcW w:w="3181" w:type="dxa"/>
            <w:gridSpan w:val="4"/>
            <w:shd w:val="clear" w:color="auto" w:fill="EBF1DE" w:themeFill="accent3" w:themeFillTint="32"/>
            <w:vAlign w:val="center"/>
          </w:tcPr>
          <w:p>
            <w:pPr>
              <w:rPr>
                <w:rFonts w:ascii="宋体"/>
                <w:bCs/>
                <w:sz w:val="24"/>
              </w:rPr>
            </w:pPr>
            <w:bookmarkStart w:id="1" w:name="合同编号"/>
            <w:r>
              <w:rPr>
                <w:rFonts w:ascii="宋体"/>
                <w:bCs/>
                <w:sz w:val="24"/>
              </w:rPr>
              <w:t>0515-2021-F-2022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shd w:val="clear" w:color="auto" w:fill="EBF1DE" w:themeFill="accent3" w:themeFillTint="32"/>
            <w:vAlign w:val="center"/>
          </w:tcPr>
          <w:p>
            <w:pPr>
              <w:jc w:val="center"/>
              <w:rPr>
                <w:bCs/>
                <w:sz w:val="24"/>
              </w:rPr>
            </w:pPr>
            <w:r>
              <w:rPr>
                <w:rFonts w:hint="eastAsia"/>
                <w:bCs/>
                <w:sz w:val="24"/>
              </w:rPr>
              <w:t>注册地址</w:t>
            </w:r>
          </w:p>
        </w:tc>
        <w:tc>
          <w:tcPr>
            <w:tcW w:w="3812" w:type="dxa"/>
            <w:gridSpan w:val="5"/>
            <w:vMerge w:val="restart"/>
            <w:shd w:val="clear" w:color="auto" w:fill="EBF1DE" w:themeFill="accent3" w:themeFillTint="32"/>
            <w:vAlign w:val="center"/>
          </w:tcPr>
          <w:p>
            <w:pPr>
              <w:spacing w:line="240" w:lineRule="atLeast"/>
              <w:jc w:val="left"/>
              <w:rPr>
                <w:rFonts w:ascii="宋体"/>
                <w:bCs/>
                <w:sz w:val="24"/>
              </w:rPr>
            </w:pPr>
            <w:bookmarkStart w:id="2" w:name="注册地址"/>
            <w:r>
              <w:rPr>
                <w:rFonts w:ascii="宋体"/>
                <w:bCs/>
                <w:sz w:val="24"/>
              </w:rPr>
              <w:t>浙江省杭州市建德市航头镇吴潭工业区杭州建航新能源开发有限公司2号厂房底层</w:t>
            </w:r>
            <w:bookmarkEnd w:id="2"/>
          </w:p>
        </w:tc>
        <w:tc>
          <w:tcPr>
            <w:tcW w:w="913" w:type="dxa"/>
            <w:gridSpan w:val="2"/>
            <w:vMerge w:val="restart"/>
            <w:shd w:val="clear" w:color="auto" w:fill="EBF1DE" w:themeFill="accent3" w:themeFillTint="32"/>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shd w:val="clear" w:color="auto" w:fill="EBF1DE" w:themeFill="accent3" w:themeFillTint="32"/>
            <w:vAlign w:val="center"/>
          </w:tcPr>
          <w:p>
            <w:pPr>
              <w:jc w:val="center"/>
              <w:rPr>
                <w:bCs/>
                <w:sz w:val="18"/>
                <w:szCs w:val="18"/>
              </w:rPr>
            </w:pPr>
            <w:bookmarkStart w:id="3" w:name="法人"/>
            <w:r>
              <w:rPr>
                <w:bCs/>
                <w:sz w:val="18"/>
                <w:szCs w:val="18"/>
              </w:rPr>
              <w:t>李建军</w:t>
            </w:r>
            <w:bookmarkEnd w:id="3"/>
          </w:p>
        </w:tc>
        <w:tc>
          <w:tcPr>
            <w:tcW w:w="1169" w:type="dxa"/>
            <w:gridSpan w:val="2"/>
            <w:shd w:val="clear" w:color="auto" w:fill="EBF1DE" w:themeFill="accent3" w:themeFillTint="3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shd w:val="clear" w:color="auto" w:fill="EBF1DE" w:themeFill="accent3" w:themeFillTint="3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shd w:val="clear" w:color="auto" w:fill="EBF1DE" w:themeFill="accent3" w:themeFillTint="32"/>
            <w:vAlign w:val="center"/>
          </w:tcPr>
          <w:p>
            <w:pPr>
              <w:jc w:val="center"/>
              <w:rPr>
                <w:bCs/>
                <w:sz w:val="24"/>
              </w:rPr>
            </w:pPr>
          </w:p>
        </w:tc>
        <w:tc>
          <w:tcPr>
            <w:tcW w:w="3812" w:type="dxa"/>
            <w:gridSpan w:val="5"/>
            <w:vMerge w:val="continue"/>
            <w:shd w:val="clear" w:color="auto" w:fill="EBF1DE" w:themeFill="accent3" w:themeFillTint="32"/>
            <w:vAlign w:val="center"/>
          </w:tcPr>
          <w:p>
            <w:pPr>
              <w:jc w:val="center"/>
              <w:rPr>
                <w:rFonts w:ascii="宋体"/>
                <w:bCs/>
                <w:sz w:val="24"/>
              </w:rPr>
            </w:pPr>
          </w:p>
        </w:tc>
        <w:tc>
          <w:tcPr>
            <w:tcW w:w="913" w:type="dxa"/>
            <w:gridSpan w:val="2"/>
            <w:vMerge w:val="continue"/>
            <w:shd w:val="clear" w:color="auto" w:fill="EBF1DE" w:themeFill="accent3" w:themeFillTint="32"/>
            <w:vAlign w:val="center"/>
          </w:tcPr>
          <w:p>
            <w:pPr>
              <w:jc w:val="center"/>
              <w:rPr>
                <w:rFonts w:ascii="宋体"/>
                <w:bCs/>
                <w:sz w:val="18"/>
                <w:szCs w:val="18"/>
              </w:rPr>
            </w:pPr>
          </w:p>
        </w:tc>
        <w:tc>
          <w:tcPr>
            <w:tcW w:w="1035" w:type="dxa"/>
            <w:gridSpan w:val="3"/>
            <w:vMerge w:val="continue"/>
            <w:shd w:val="clear" w:color="auto" w:fill="EBF1DE" w:themeFill="accent3" w:themeFillTint="32"/>
          </w:tcPr>
          <w:p>
            <w:pPr>
              <w:jc w:val="center"/>
              <w:rPr>
                <w:rFonts w:ascii="宋体"/>
                <w:bCs/>
                <w:sz w:val="18"/>
                <w:szCs w:val="18"/>
              </w:rPr>
            </w:pPr>
          </w:p>
        </w:tc>
        <w:tc>
          <w:tcPr>
            <w:tcW w:w="1169" w:type="dxa"/>
            <w:gridSpan w:val="2"/>
            <w:shd w:val="clear" w:color="auto" w:fill="EBF1DE" w:themeFill="accent3" w:themeFillTint="32"/>
            <w:vAlign w:val="center"/>
          </w:tcPr>
          <w:p>
            <w:pPr>
              <w:jc w:val="center"/>
              <w:rPr>
                <w:rFonts w:ascii="宋体"/>
                <w:bCs/>
                <w:sz w:val="18"/>
                <w:szCs w:val="18"/>
              </w:rPr>
            </w:pPr>
            <w:r>
              <w:rPr>
                <w:rFonts w:hint="eastAsia" w:ascii="宋体" w:hAnsi="宋体"/>
                <w:bCs/>
                <w:sz w:val="18"/>
                <w:szCs w:val="18"/>
              </w:rPr>
              <w:t>手机</w:t>
            </w:r>
          </w:p>
        </w:tc>
        <w:tc>
          <w:tcPr>
            <w:tcW w:w="2012" w:type="dxa"/>
            <w:gridSpan w:val="2"/>
            <w:shd w:val="clear" w:color="auto" w:fill="EBF1DE" w:themeFill="accent3" w:themeFillTint="32"/>
            <w:vAlign w:val="center"/>
          </w:tcPr>
          <w:p>
            <w:pPr>
              <w:jc w:val="center"/>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shd w:val="clear" w:color="auto" w:fill="EBF1DE" w:themeFill="accent3" w:themeFillTint="32"/>
            <w:vAlign w:val="center"/>
          </w:tcPr>
          <w:p>
            <w:pPr>
              <w:jc w:val="center"/>
              <w:rPr>
                <w:bCs/>
                <w:sz w:val="24"/>
              </w:rPr>
            </w:pPr>
            <w:r>
              <w:rPr>
                <w:rFonts w:hint="eastAsia"/>
                <w:bCs/>
                <w:sz w:val="24"/>
              </w:rPr>
              <w:t>生产/经营地址</w:t>
            </w:r>
          </w:p>
        </w:tc>
        <w:tc>
          <w:tcPr>
            <w:tcW w:w="3812" w:type="dxa"/>
            <w:gridSpan w:val="5"/>
            <w:vMerge w:val="restart"/>
            <w:shd w:val="clear" w:color="auto" w:fill="EBF1DE" w:themeFill="accent3" w:themeFillTint="32"/>
            <w:vAlign w:val="center"/>
          </w:tcPr>
          <w:p>
            <w:pPr>
              <w:spacing w:line="240" w:lineRule="atLeast"/>
              <w:jc w:val="left"/>
              <w:rPr>
                <w:rFonts w:ascii="宋体"/>
                <w:bCs/>
                <w:sz w:val="24"/>
              </w:rPr>
            </w:pPr>
            <w:bookmarkStart w:id="4" w:name="生产地址"/>
            <w:r>
              <w:rPr>
                <w:rFonts w:ascii="宋体"/>
                <w:bCs/>
                <w:sz w:val="24"/>
              </w:rPr>
              <w:t>浙江省杭州市建德市航头镇吴潭工业区杭州建航新能源开发有限公司2号厂房底层</w:t>
            </w:r>
            <w:bookmarkEnd w:id="4"/>
          </w:p>
        </w:tc>
        <w:tc>
          <w:tcPr>
            <w:tcW w:w="913" w:type="dxa"/>
            <w:gridSpan w:val="2"/>
            <w:vMerge w:val="restart"/>
            <w:shd w:val="clear" w:color="auto" w:fill="EBF1DE" w:themeFill="accent3" w:themeFillTint="32"/>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shd w:val="clear" w:color="auto" w:fill="EBF1DE" w:themeFill="accent3" w:themeFillTint="32"/>
            <w:vAlign w:val="center"/>
          </w:tcPr>
          <w:p>
            <w:pPr>
              <w:jc w:val="center"/>
              <w:rPr>
                <w:bCs/>
                <w:sz w:val="18"/>
                <w:szCs w:val="18"/>
              </w:rPr>
            </w:pPr>
            <w:bookmarkStart w:id="5" w:name="联系人"/>
            <w:r>
              <w:rPr>
                <w:bCs/>
                <w:sz w:val="18"/>
                <w:szCs w:val="18"/>
              </w:rPr>
              <w:t>李梦</w:t>
            </w:r>
            <w:bookmarkEnd w:id="5"/>
          </w:p>
        </w:tc>
        <w:tc>
          <w:tcPr>
            <w:tcW w:w="1169" w:type="dxa"/>
            <w:gridSpan w:val="2"/>
            <w:shd w:val="clear" w:color="auto" w:fill="EBF1DE" w:themeFill="accent3" w:themeFillTint="3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shd w:val="clear" w:color="auto" w:fill="EBF1DE" w:themeFill="accent3" w:themeFillTint="32"/>
            <w:vAlign w:val="center"/>
          </w:tcPr>
          <w:p>
            <w:pPr>
              <w:jc w:val="center"/>
              <w:rPr>
                <w:rFonts w:ascii="宋体"/>
                <w:bCs/>
                <w:sz w:val="24"/>
              </w:rPr>
            </w:pPr>
            <w:bookmarkStart w:id="6" w:name="联系人电话"/>
            <w:r>
              <w:rPr>
                <w:rFonts w:ascii="宋体"/>
                <w:bCs/>
                <w:sz w:val="24"/>
              </w:rPr>
              <w:t>18368033827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shd w:val="clear" w:color="auto" w:fill="EBF1DE" w:themeFill="accent3" w:themeFillTint="32"/>
            <w:vAlign w:val="center"/>
          </w:tcPr>
          <w:p>
            <w:pPr>
              <w:jc w:val="center"/>
              <w:rPr>
                <w:bCs/>
                <w:sz w:val="24"/>
              </w:rPr>
            </w:pPr>
          </w:p>
        </w:tc>
        <w:tc>
          <w:tcPr>
            <w:tcW w:w="3812" w:type="dxa"/>
            <w:gridSpan w:val="5"/>
            <w:vMerge w:val="continue"/>
            <w:shd w:val="clear" w:color="auto" w:fill="EBF1DE" w:themeFill="accent3" w:themeFillTint="32"/>
          </w:tcPr>
          <w:p>
            <w:pPr>
              <w:jc w:val="center"/>
              <w:rPr>
                <w:rFonts w:ascii="宋体"/>
                <w:bCs/>
                <w:sz w:val="24"/>
              </w:rPr>
            </w:pPr>
          </w:p>
        </w:tc>
        <w:tc>
          <w:tcPr>
            <w:tcW w:w="913" w:type="dxa"/>
            <w:gridSpan w:val="2"/>
            <w:vMerge w:val="continue"/>
            <w:shd w:val="clear" w:color="auto" w:fill="EBF1DE" w:themeFill="accent3" w:themeFillTint="32"/>
            <w:vAlign w:val="center"/>
          </w:tcPr>
          <w:p>
            <w:pPr>
              <w:jc w:val="center"/>
              <w:rPr>
                <w:rFonts w:ascii="宋体"/>
                <w:bCs/>
                <w:sz w:val="18"/>
                <w:szCs w:val="18"/>
              </w:rPr>
            </w:pPr>
          </w:p>
        </w:tc>
        <w:tc>
          <w:tcPr>
            <w:tcW w:w="1035" w:type="dxa"/>
            <w:gridSpan w:val="3"/>
            <w:vMerge w:val="continue"/>
            <w:shd w:val="clear" w:color="auto" w:fill="EBF1DE" w:themeFill="accent3" w:themeFillTint="32"/>
          </w:tcPr>
          <w:p>
            <w:pPr>
              <w:jc w:val="center"/>
              <w:rPr>
                <w:rFonts w:ascii="宋体"/>
                <w:bCs/>
                <w:sz w:val="18"/>
                <w:szCs w:val="18"/>
              </w:rPr>
            </w:pPr>
          </w:p>
        </w:tc>
        <w:tc>
          <w:tcPr>
            <w:tcW w:w="1169" w:type="dxa"/>
            <w:gridSpan w:val="2"/>
            <w:shd w:val="clear" w:color="auto" w:fill="EBF1DE" w:themeFill="accent3" w:themeFillTint="32"/>
            <w:vAlign w:val="center"/>
          </w:tcPr>
          <w:p>
            <w:pPr>
              <w:jc w:val="center"/>
              <w:rPr>
                <w:rFonts w:ascii="宋体"/>
                <w:bCs/>
                <w:sz w:val="18"/>
                <w:szCs w:val="18"/>
              </w:rPr>
            </w:pPr>
            <w:r>
              <w:rPr>
                <w:rFonts w:hint="eastAsia" w:ascii="宋体" w:hAnsi="宋体"/>
                <w:bCs/>
                <w:sz w:val="18"/>
                <w:szCs w:val="18"/>
              </w:rPr>
              <w:t>手机</w:t>
            </w:r>
          </w:p>
        </w:tc>
        <w:tc>
          <w:tcPr>
            <w:tcW w:w="2012" w:type="dxa"/>
            <w:gridSpan w:val="2"/>
            <w:shd w:val="clear" w:color="auto" w:fill="EBF1DE" w:themeFill="accent3" w:themeFillTint="32"/>
            <w:vAlign w:val="center"/>
          </w:tcPr>
          <w:p>
            <w:pPr>
              <w:jc w:val="center"/>
              <w:rPr>
                <w:rFonts w:ascii="宋体"/>
                <w:bCs/>
                <w:sz w:val="24"/>
              </w:rPr>
            </w:pPr>
            <w:bookmarkStart w:id="7" w:name="联系人手机"/>
            <w:r>
              <w:rPr>
                <w:rFonts w:ascii="宋体"/>
                <w:bCs/>
                <w:sz w:val="24"/>
              </w:rPr>
              <w:t>18368033827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shd w:val="clear" w:color="auto" w:fill="EBF1DE" w:themeFill="accent3" w:themeFillTint="32"/>
            <w:vAlign w:val="center"/>
          </w:tcPr>
          <w:p>
            <w:pPr>
              <w:jc w:val="center"/>
              <w:rPr>
                <w:bCs/>
                <w:sz w:val="24"/>
              </w:rPr>
            </w:pPr>
            <w:r>
              <w:rPr>
                <w:rFonts w:hint="eastAsia"/>
                <w:bCs/>
                <w:sz w:val="24"/>
              </w:rPr>
              <w:t>认证领域</w:t>
            </w:r>
          </w:p>
        </w:tc>
        <w:tc>
          <w:tcPr>
            <w:tcW w:w="8941" w:type="dxa"/>
            <w:gridSpan w:val="14"/>
            <w:shd w:val="clear" w:color="auto" w:fill="EBF1DE" w:themeFill="accent3" w:themeFillTint="32"/>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shd w:val="clear" w:color="auto" w:fill="EBF1DE" w:themeFill="accent3" w:themeFillTint="32"/>
            <w:vAlign w:val="center"/>
          </w:tcPr>
          <w:p>
            <w:pPr>
              <w:jc w:val="center"/>
              <w:rPr>
                <w:bCs/>
                <w:sz w:val="24"/>
              </w:rPr>
            </w:pPr>
            <w:r>
              <w:rPr>
                <w:rFonts w:hint="eastAsia"/>
                <w:bCs/>
                <w:sz w:val="24"/>
              </w:rPr>
              <w:t>依据标准</w:t>
            </w:r>
          </w:p>
        </w:tc>
        <w:tc>
          <w:tcPr>
            <w:tcW w:w="8941" w:type="dxa"/>
            <w:gridSpan w:val="14"/>
            <w:shd w:val="clear" w:color="auto" w:fill="EBF1DE" w:themeFill="accent3" w:themeFillTint="32"/>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shd w:val="clear" w:color="auto" w:fill="EBF1DE" w:themeFill="accent3" w:themeFillTint="32"/>
            <w:vAlign w:val="center"/>
          </w:tcPr>
          <w:p>
            <w:pPr>
              <w:spacing w:line="240" w:lineRule="atLeast"/>
              <w:jc w:val="center"/>
              <w:rPr>
                <w:bCs/>
                <w:sz w:val="24"/>
              </w:rPr>
            </w:pPr>
            <w:r>
              <w:rPr>
                <w:rFonts w:hint="eastAsia"/>
                <w:bCs/>
                <w:sz w:val="24"/>
              </w:rPr>
              <w:t>认证范围</w:t>
            </w:r>
          </w:p>
        </w:tc>
        <w:tc>
          <w:tcPr>
            <w:tcW w:w="8941" w:type="dxa"/>
            <w:gridSpan w:val="14"/>
            <w:shd w:val="clear" w:color="auto" w:fill="EBF1DE" w:themeFill="accent3" w:themeFillTint="32"/>
            <w:vAlign w:val="center"/>
          </w:tcPr>
          <w:p>
            <w:pPr>
              <w:rPr>
                <w:rFonts w:ascii="宋体"/>
                <w:bCs/>
                <w:sz w:val="24"/>
              </w:rPr>
            </w:pPr>
            <w:bookmarkStart w:id="11" w:name="审核范围"/>
            <w:r>
              <w:rPr>
                <w:rFonts w:ascii="宋体"/>
                <w:bCs/>
                <w:sz w:val="24"/>
              </w:rPr>
              <w:t>位于浙江省杭州市建德市航头镇吴潭工业区杭州建航新能源开发有限公司2号厂房底层建德市方军农产品配送有限公司的预包装食品（含冷藏冷冻食品）、散装食品（含冷藏食品）销售（运输和贮藏）</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shd w:val="clear" w:color="auto" w:fill="EBF1DE" w:themeFill="accent3" w:themeFillTint="32"/>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shd w:val="clear" w:color="auto" w:fill="EBF1DE" w:themeFill="accent3" w:themeFillTint="32"/>
            <w:vAlign w:val="center"/>
          </w:tcPr>
          <w:p>
            <w:pPr>
              <w:rPr>
                <w:rFonts w:ascii="宋体"/>
                <w:bCs/>
                <w:sz w:val="24"/>
              </w:rPr>
            </w:pPr>
            <w:r>
              <w:rPr>
                <w:rFonts w:ascii="宋体"/>
                <w:bCs/>
                <w:sz w:val="24"/>
              </w:rPr>
              <w:t>否</w:t>
            </w:r>
          </w:p>
        </w:tc>
        <w:tc>
          <w:tcPr>
            <w:tcW w:w="1515" w:type="dxa"/>
            <w:gridSpan w:val="2"/>
            <w:shd w:val="clear" w:color="auto" w:fill="EBF1DE" w:themeFill="accent3" w:themeFillTint="32"/>
            <w:vAlign w:val="center"/>
          </w:tcPr>
          <w:p>
            <w:pPr>
              <w:rPr>
                <w:rFonts w:ascii="宋体"/>
                <w:bCs/>
                <w:sz w:val="24"/>
              </w:rPr>
            </w:pPr>
            <w:r>
              <w:rPr>
                <w:rFonts w:hint="eastAsia"/>
                <w:bCs/>
                <w:sz w:val="24"/>
              </w:rPr>
              <w:t>不适用条款</w:t>
            </w:r>
          </w:p>
        </w:tc>
        <w:tc>
          <w:tcPr>
            <w:tcW w:w="1462" w:type="dxa"/>
            <w:gridSpan w:val="4"/>
            <w:shd w:val="clear" w:color="auto" w:fill="EBF1DE" w:themeFill="accent3" w:themeFillTint="32"/>
            <w:vAlign w:val="center"/>
          </w:tcPr>
          <w:p>
            <w:pPr>
              <w:rPr>
                <w:rFonts w:hint="eastAsia" w:eastAsia="宋体"/>
                <w:bCs/>
                <w:sz w:val="24"/>
                <w:lang w:eastAsia="zh-CN"/>
              </w:rPr>
            </w:pPr>
            <w:bookmarkStart w:id="12" w:name="删减条约"/>
            <w:bookmarkEnd w:id="12"/>
            <w:r>
              <w:rPr>
                <w:rFonts w:hint="eastAsia"/>
                <w:bCs/>
                <w:sz w:val="24"/>
                <w:lang w:eastAsia="zh-CN"/>
              </w:rPr>
              <w:t>——</w:t>
            </w:r>
          </w:p>
        </w:tc>
        <w:tc>
          <w:tcPr>
            <w:tcW w:w="1859" w:type="dxa"/>
            <w:gridSpan w:val="4"/>
            <w:shd w:val="clear" w:color="auto" w:fill="EBF1DE" w:themeFill="accent3" w:themeFillTint="32"/>
            <w:vAlign w:val="center"/>
          </w:tcPr>
          <w:p>
            <w:pPr>
              <w:jc w:val="center"/>
              <w:rPr>
                <w:bCs/>
                <w:sz w:val="24"/>
              </w:rPr>
            </w:pPr>
            <w:r>
              <w:rPr>
                <w:rFonts w:hint="eastAsia" w:ascii="宋体" w:hAnsi="宋体"/>
                <w:bCs/>
                <w:sz w:val="24"/>
              </w:rPr>
              <w:t>专业代码</w:t>
            </w:r>
          </w:p>
        </w:tc>
        <w:tc>
          <w:tcPr>
            <w:tcW w:w="2012" w:type="dxa"/>
            <w:gridSpan w:val="2"/>
            <w:shd w:val="clear" w:color="auto" w:fill="EBF1DE" w:themeFill="accent3" w:themeFillTint="32"/>
            <w:vAlign w:val="center"/>
          </w:tcPr>
          <w:p>
            <w:pPr>
              <w:rPr>
                <w:bCs/>
                <w:sz w:val="24"/>
              </w:rPr>
            </w:pPr>
            <w:bookmarkStart w:id="13" w:name="专业代码"/>
            <w:r>
              <w:rPr>
                <w:bCs/>
                <w:sz w:val="24"/>
              </w:rPr>
              <w:t>GI;GII</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shd w:val="clear" w:color="auto" w:fill="EBF1DE" w:themeFill="accent3" w:themeFillTint="32"/>
            <w:vAlign w:val="center"/>
          </w:tcPr>
          <w:p>
            <w:pPr>
              <w:rPr>
                <w:rFonts w:ascii="宋体"/>
                <w:bCs/>
                <w:sz w:val="24"/>
              </w:rPr>
            </w:pPr>
            <w:r>
              <w:rPr>
                <w:rFonts w:hint="eastAsia" w:ascii="宋体"/>
                <w:bCs/>
                <w:sz w:val="24"/>
              </w:rPr>
              <w:t>风险等级</w:t>
            </w:r>
          </w:p>
        </w:tc>
        <w:tc>
          <w:tcPr>
            <w:tcW w:w="8941" w:type="dxa"/>
            <w:gridSpan w:val="14"/>
            <w:shd w:val="clear" w:color="auto" w:fill="EBF1DE" w:themeFill="accent3" w:themeFillTint="32"/>
            <w:vAlign w:val="center"/>
          </w:tcPr>
          <w:p>
            <w:pPr>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shd w:val="clear" w:color="auto" w:fill="EBF1DE" w:themeFill="accent3" w:themeFillTint="32"/>
            <w:vAlign w:val="center"/>
          </w:tcPr>
          <w:p>
            <w:pPr>
              <w:jc w:val="center"/>
              <w:rPr>
                <w:bCs/>
                <w:sz w:val="24"/>
              </w:rPr>
            </w:pPr>
            <w:r>
              <w:rPr>
                <w:rFonts w:hint="eastAsia"/>
                <w:bCs/>
                <w:sz w:val="24"/>
              </w:rPr>
              <w:t>多场所情况</w:t>
            </w:r>
          </w:p>
        </w:tc>
        <w:tc>
          <w:tcPr>
            <w:tcW w:w="5070" w:type="dxa"/>
            <w:gridSpan w:val="8"/>
            <w:shd w:val="clear" w:color="auto" w:fill="EBF1DE" w:themeFill="accent3" w:themeFillTint="32"/>
            <w:vAlign w:val="center"/>
          </w:tcPr>
          <w:p>
            <w:pPr>
              <w:spacing w:before="156" w:line="240" w:lineRule="exact"/>
              <w:rPr>
                <w:rFonts w:hint="eastAsia" w:ascii="宋体" w:eastAsia="宋体"/>
                <w:bCs/>
                <w:sz w:val="24"/>
                <w:lang w:eastAsia="zh-CN"/>
              </w:rPr>
            </w:pPr>
            <w:r>
              <w:rPr>
                <w:rFonts w:hint="eastAsia" w:ascii="宋体"/>
                <w:bCs/>
                <w:sz w:val="24"/>
                <w:lang w:eastAsia="zh-CN"/>
              </w:rPr>
              <w:t>——</w:t>
            </w:r>
          </w:p>
        </w:tc>
        <w:tc>
          <w:tcPr>
            <w:tcW w:w="1859" w:type="dxa"/>
            <w:gridSpan w:val="4"/>
            <w:shd w:val="clear" w:color="auto" w:fill="EBF1DE" w:themeFill="accent3" w:themeFillTint="32"/>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shd w:val="clear" w:color="auto" w:fill="EBF1DE" w:themeFill="accent3" w:themeFillTint="3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shd w:val="clear" w:color="auto" w:fill="EBF1DE" w:themeFill="accent3" w:themeFillTint="32"/>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shd w:val="clear" w:color="auto" w:fill="EBF1DE" w:themeFill="accent3" w:themeFillTint="32"/>
            <w:vAlign w:val="center"/>
          </w:tcPr>
          <w:p>
            <w:pPr>
              <w:spacing w:before="156" w:line="240" w:lineRule="exact"/>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shd w:val="clear" w:color="auto" w:fill="EBF1DE" w:themeFill="accent3" w:themeFillTint="32"/>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shd w:val="clear" w:color="auto" w:fill="EBF1DE" w:themeFill="accent3" w:themeFillTint="32"/>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shd w:val="clear" w:color="auto" w:fill="EBF1DE" w:themeFill="accent3" w:themeFillTint="3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shd w:val="clear" w:color="auto" w:fill="EBF1DE" w:themeFill="accent3" w:themeFillTint="32"/>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shd w:val="clear" w:color="auto" w:fill="EBF1DE" w:themeFill="accent3" w:themeFillTint="32"/>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shd w:val="clear" w:color="auto" w:fill="EBF1DE" w:themeFill="accent3" w:themeFillTint="32"/>
            <w:vAlign w:val="center"/>
          </w:tcPr>
          <w:p>
            <w:pPr>
              <w:spacing w:before="156" w:line="240" w:lineRule="exact"/>
              <w:jc w:val="left"/>
              <w:rPr>
                <w:rFonts w:ascii="宋体"/>
                <w:bCs/>
                <w:szCs w:val="21"/>
              </w:rPr>
            </w:pPr>
            <w:bookmarkStart w:id="16" w:name="企业人数"/>
            <w:r>
              <w:rPr>
                <w:rFonts w:ascii="宋体"/>
                <w:bCs/>
                <w:szCs w:val="21"/>
              </w:rPr>
              <w:t>14</w:t>
            </w:r>
            <w:bookmarkEnd w:id="16"/>
          </w:p>
        </w:tc>
        <w:tc>
          <w:tcPr>
            <w:tcW w:w="1290" w:type="dxa"/>
            <w:gridSpan w:val="2"/>
            <w:shd w:val="clear" w:color="auto" w:fill="EBF1DE" w:themeFill="accent3" w:themeFillTint="3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shd w:val="clear" w:color="auto" w:fill="EBF1DE" w:themeFill="accent3" w:themeFillTint="32"/>
            <w:vAlign w:val="center"/>
          </w:tcPr>
          <w:p>
            <w:pPr>
              <w:spacing w:before="156" w:line="240" w:lineRule="exact"/>
              <w:jc w:val="left"/>
              <w:rPr>
                <w:rFonts w:ascii="宋体"/>
                <w:bCs/>
                <w:szCs w:val="21"/>
              </w:rPr>
            </w:pPr>
            <w:bookmarkStart w:id="17" w:name="体系人数"/>
            <w:r>
              <w:rPr>
                <w:rFonts w:ascii="宋体"/>
                <w:bCs/>
                <w:szCs w:val="21"/>
              </w:rPr>
              <w:t>14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shd w:val="clear" w:color="auto" w:fill="EBF1DE" w:themeFill="accent3" w:themeFillTint="32"/>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shd w:val="clear" w:color="auto" w:fill="EBF1DE" w:themeFill="accent3" w:themeFillTint="32"/>
            <w:vAlign w:val="center"/>
          </w:tcPr>
          <w:p>
            <w:pPr>
              <w:jc w:val="center"/>
              <w:rPr>
                <w:bCs/>
                <w:sz w:val="24"/>
              </w:rPr>
            </w:pPr>
            <w:r>
              <w:rPr>
                <w:rFonts w:hint="eastAsia"/>
                <w:bCs/>
                <w:sz w:val="24"/>
              </w:rPr>
              <w:t>信息变化说明</w:t>
            </w:r>
          </w:p>
        </w:tc>
        <w:tc>
          <w:tcPr>
            <w:tcW w:w="8941" w:type="dxa"/>
            <w:gridSpan w:val="14"/>
            <w:shd w:val="clear" w:color="auto" w:fill="EBF1DE" w:themeFill="accent3" w:themeFillTint="32"/>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FF"/>
                <w:u w:val="single"/>
                <w:lang w:val="en-US" w:eastAsia="zh-CN"/>
              </w:rPr>
              <w:t>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shd w:val="clear" w:color="auto" w:fill="EBF1DE" w:themeFill="accent3" w:themeFillTint="32"/>
            <w:vAlign w:val="center"/>
          </w:tcPr>
          <w:p>
            <w:pPr>
              <w:jc w:val="center"/>
              <w:rPr>
                <w:bCs/>
                <w:sz w:val="24"/>
              </w:rPr>
            </w:pPr>
            <w:r>
              <w:rPr>
                <w:rFonts w:hint="eastAsia"/>
                <w:bCs/>
                <w:sz w:val="24"/>
              </w:rPr>
              <w:t>多场所情况说明</w:t>
            </w:r>
          </w:p>
        </w:tc>
        <w:tc>
          <w:tcPr>
            <w:tcW w:w="8941" w:type="dxa"/>
            <w:gridSpan w:val="14"/>
            <w:shd w:val="clear" w:color="auto" w:fill="EBF1DE" w:themeFill="accent3" w:themeFillTint="32"/>
            <w:vAlign w:val="bottom"/>
          </w:tcPr>
          <w:p>
            <w:pPr>
              <w:ind w:right="420"/>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shd w:val="clear" w:color="auto" w:fill="EBF1DE" w:themeFill="accent3" w:themeFillTint="32"/>
            <w:vAlign w:val="center"/>
          </w:tcPr>
          <w:p>
            <w:pPr>
              <w:jc w:val="center"/>
              <w:rPr>
                <w:bCs/>
                <w:sz w:val="24"/>
              </w:rPr>
            </w:pPr>
            <w:r>
              <w:rPr>
                <w:rFonts w:hint="eastAsia"/>
                <w:bCs/>
                <w:sz w:val="24"/>
              </w:rPr>
              <w:t>审核方案实施及结论</w:t>
            </w:r>
          </w:p>
        </w:tc>
        <w:tc>
          <w:tcPr>
            <w:tcW w:w="8941" w:type="dxa"/>
            <w:gridSpan w:val="14"/>
            <w:shd w:val="clear" w:color="auto" w:fill="EBF1DE" w:themeFill="accent3" w:themeFillTint="32"/>
            <w:vAlign w:val="bottom"/>
          </w:tcPr>
          <w:p>
            <w:pPr>
              <w:ind w:right="420"/>
              <w:rPr>
                <w:sz w:val="24"/>
              </w:rPr>
            </w:pPr>
            <w:r>
              <w:rPr>
                <w:rFonts w:hint="eastAsia"/>
                <w:sz w:val="24"/>
              </w:rPr>
              <w:t>本次审核要素：</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全条款、全部门</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shd w:val="clear" w:color="auto" w:fill="EBF1DE" w:themeFill="accent3" w:themeFillTint="32"/>
            <w:vAlign w:val="center"/>
          </w:tcPr>
          <w:p>
            <w:pPr>
              <w:jc w:val="center"/>
              <w:rPr>
                <w:bCs/>
                <w:sz w:val="24"/>
              </w:rPr>
            </w:pPr>
          </w:p>
        </w:tc>
        <w:tc>
          <w:tcPr>
            <w:tcW w:w="8941" w:type="dxa"/>
            <w:gridSpan w:val="14"/>
            <w:shd w:val="clear" w:color="auto" w:fill="EBF1DE" w:themeFill="accent3" w:themeFillTint="32"/>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hint="eastAsia" w:ascii="宋体" w:hAnsi="宋体" w:eastAsia="宋体"/>
                <w:bCs/>
                <w:sz w:val="24"/>
                <w:lang w:val="en-US" w:eastAsia="zh-CN"/>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2</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配送部</w:t>
            </w:r>
            <w:r>
              <w:rPr>
                <w:rFonts w:hint="eastAsia" w:ascii="宋体" w:hAnsi="宋体"/>
                <w:bCs/>
                <w:sz w:val="24"/>
              </w:rPr>
              <w:t xml:space="preserve">          </w:t>
            </w:r>
            <w:r>
              <w:rPr>
                <w:rFonts w:hint="eastAsia" w:ascii="宋体" w:hAnsi="宋体"/>
                <w:bCs/>
                <w:sz w:val="24"/>
                <w:lang w:val="en-US" w:eastAsia="zh-CN"/>
              </w:rPr>
              <w:t xml:space="preserve">     品控部</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ISO 22000:2018标准 7.1.6条款、8.7条款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hint="eastAsia" w:ascii="宋体" w:hAnsi="宋体" w:eastAsia="宋体"/>
                <w:bCs/>
                <w:sz w:val="24"/>
                <w:lang w:val="en-US" w:eastAsia="zh-CN"/>
              </w:rPr>
            </w:pPr>
            <w:r>
              <w:rPr>
                <w:rFonts w:hint="eastAsia" w:ascii="宋体" w:hAnsi="宋体"/>
                <w:bCs/>
                <w:sz w:val="24"/>
              </w:rPr>
              <w:t>上次不符合项验证：</w:t>
            </w:r>
            <w:r>
              <w:rPr>
                <w:rFonts w:hint="eastAsia" w:ascii="宋体" w:hAnsi="宋体"/>
                <w:bCs/>
                <w:sz w:val="24"/>
                <w:lang w:val="en-US" w:eastAsia="zh-CN"/>
              </w:rPr>
              <w:t xml:space="preserve">  </w:t>
            </w:r>
            <w:r>
              <w:rPr>
                <w:rFonts w:hint="eastAsia" w:ascii="宋体" w:hAnsi="宋体"/>
                <w:bCs/>
                <w:sz w:val="24"/>
              </w:rPr>
              <w:t xml:space="preserve">关闭 </w:t>
            </w:r>
            <w:r>
              <w:rPr>
                <w:rFonts w:hint="eastAsia" w:ascii="宋体" w:hAnsi="宋体"/>
                <w:bCs/>
                <w:sz w:val="24"/>
                <w:lang w:val="en-US" w:eastAsia="zh-CN"/>
              </w:rPr>
              <w:t>4</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hint="eastAsia" w:ascii="宋体" w:hAnsi="宋体" w:eastAsia="宋体"/>
                <w:sz w:val="24"/>
                <w:u w:val="single"/>
                <w:lang w:eastAsia="zh-CN"/>
              </w:rPr>
            </w:pPr>
            <w:r>
              <w:rPr>
                <w:rFonts w:hint="eastAsia" w:ascii="宋体" w:hAnsi="宋体"/>
                <w:sz w:val="24"/>
              </w:rPr>
              <w:t xml:space="preserve">□对下次审核的建议： </w:t>
            </w:r>
            <w:r>
              <w:rPr>
                <w:rFonts w:hint="eastAsia" w:ascii="宋体" w:hAnsi="宋体"/>
                <w:sz w:val="24"/>
                <w:lang w:eastAsia="zh-CN"/>
              </w:rPr>
              <w:t>——</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hint="eastAsia" w:ascii="宋体" w:hAnsi="宋体" w:eastAsia="宋体"/>
                <w:sz w:val="24"/>
                <w:u w:val="single"/>
                <w:lang w:eastAsia="zh-CN"/>
              </w:rPr>
            </w:pPr>
            <w:r>
              <w:rPr>
                <w:rFonts w:hint="eastAsia" w:ascii="宋体" w:hAnsi="宋体"/>
                <w:sz w:val="24"/>
              </w:rPr>
              <w:t>□改进建议:</w:t>
            </w:r>
            <w:r>
              <w:rPr>
                <w:rFonts w:hint="eastAsia" w:ascii="宋体" w:hAnsi="宋体"/>
                <w:sz w:val="24"/>
                <w:lang w:eastAsia="zh-CN"/>
              </w:rPr>
              <w:t>——</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1" type="#_x0000_t75" style="height:28.65pt;width:61.3pt;" filled="f" o:preferrelative="t" stroked="f" coordsize="21600,21600">
                  <v:path/>
                  <v:fill on="f" focussize="0,0"/>
                  <v:stroke on="f"/>
                  <v:imagedata r:id="rId6" o:title="肖新龙01"/>
                  <o:lock v:ext="edit" aspectratio="t"/>
                  <w10:wrap type="none"/>
                  <w10:anchorlock/>
                </v:shape>
              </w:pict>
            </w:r>
            <w:r>
              <w:rPr>
                <w:rFonts w:hint="eastAsia" w:ascii="宋体" w:hAnsi="宋体" w:cs="宋体"/>
                <w:bCs/>
                <w:sz w:val="24"/>
                <w:lang w:val="en-US" w:eastAsia="zh-CN"/>
              </w:rPr>
              <w:t>2022-05-10</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2UwYzRjODcyYjBmZWI4OGFkMDIyNTk1M2M5ZTMifQ=="/>
  </w:docVars>
  <w:rsids>
    <w:rsidRoot w:val="00000000"/>
    <w:rsid w:val="4B37418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1789</Words>
  <Characters>1866</Characters>
  <Lines>16</Lines>
  <Paragraphs>4</Paragraphs>
  <TotalTime>15</TotalTime>
  <ScaleCrop>false</ScaleCrop>
  <LinksUpToDate>false</LinksUpToDate>
  <CharactersWithSpaces>2373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2022-05-11T07:50:45Z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2052-11.1.0.11691</vt:lpwstr>
  </property>
</Properties>
</file>