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厦门美滋颜实业有限公司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CIV-4;CIV-7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-46355</wp:posOffset>
                  </wp:positionV>
                  <wp:extent cx="598170" cy="346075"/>
                  <wp:effectExtent l="0" t="0" r="0" b="0"/>
                  <wp:wrapTight wrapText="bothSides">
                    <wp:wrapPolygon>
                      <wp:start x="0" y="0"/>
                      <wp:lineTo x="0" y="20609"/>
                      <wp:lineTo x="21096" y="20609"/>
                      <wp:lineTo x="21096" y="0"/>
                      <wp:lineTo x="0" y="0"/>
                    </wp:wrapPolygon>
                  </wp:wrapTight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CIV-4;CIV-7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85725</wp:posOffset>
                  </wp:positionV>
                  <wp:extent cx="296545" cy="166370"/>
                  <wp:effectExtent l="0" t="0" r="33655" b="36830"/>
                  <wp:wrapTight wrapText="bothSides">
                    <wp:wrapPolygon>
                      <wp:start x="0" y="0"/>
                      <wp:lineTo x="0" y="19786"/>
                      <wp:lineTo x="20351" y="19786"/>
                      <wp:lineTo x="20351" y="0"/>
                      <wp:lineTo x="0" y="0"/>
                    </wp:wrapPolygon>
                  </wp:wrapTight>
                  <wp:docPr id="3" name="图片 3" descr="a52501401971a1b56473d6c3a8dfd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52501401971a1b56473d6c3a8dfd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>各产品工艺流程图结合企业策划的HACCP进行培训，工艺流程见附件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 风味固体饮料:配料工序，食品添加剂超限量使用——配料、复核双人进行,添加剂使用量符合GB2760的要求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 植物饮料：2.1 配料工序，食品添加剂超限量使用——配料、复核双人进行,添加剂使用量符合GB2760的要求;2.2 灭菌工序：微生物超标风险，——灭菌温度、时间、压力等</w:t>
            </w:r>
          </w:p>
          <w:p>
            <w:pPr>
              <w:numPr>
                <w:numId w:val="0"/>
              </w:num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 糖果（凝胶糖果、压片糖果）：3.1 配料工序，食品添加剂超限量使用——配料、复核双人进行,添加剂使用量符合GB2760的要求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果味型果冻：4.1 配料工序，食品添加剂超限量使用——配料、复核双人进行,添加剂使用量符合GB2760的要求;4.2 灭菌工序：微生物超标风险，——灭菌温度、时间等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GB 7101-2015 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 饮料</w:t>
            </w:r>
            <w:r>
              <w:rPr>
                <w:rFonts w:hint="eastAsia"/>
                <w:b/>
                <w:sz w:val="20"/>
                <w:lang w:eastAsia="zh-CN"/>
              </w:rPr>
              <w:t>》、GB 17399-2016 《食品安全国家标准 糖果》、GB 19299-2015 《食品安全国家标准 果冻》GB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eastAsia="zh-CN"/>
              </w:rPr>
              <w:t>T 10789-2015 《饮料通则（含第1号修改单）》GB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eastAsia="zh-CN"/>
              </w:rPr>
              <w:t>T 19883-2018 《果冻》GB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eastAsia="zh-CN"/>
              </w:rPr>
              <w:t>T 23823-2009 《糖果分类》GB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eastAsia="zh-CN"/>
              </w:rPr>
              <w:t>T 29602-2013 《固体饮料》GB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eastAsia="zh-CN"/>
              </w:rPr>
              <w:t>T 31326-2014 《植物饮料》、GB 2760-2014 《食品安全国家标准 食品添加剂使用标准》、GB 2761-2017《 食品安全国家标准 食品中真菌毒素限量》、GB 2762-2017 《食品安全国家标准 食品中污染物限量（含第1号修改单）》、GB 2763-2021 《食品安全国家标准 食品中农药最大残留限量》、GB 17403-2016《 食品安全国家标准 糖果巧克力生产卫生规范》、GB 12695-2016《 食品安全国家标准 饮料生产卫生规范》、《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危害分析与关键控制点（HACCP体系）认证要求V1.0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中华人民共和国食品安全法</w:t>
            </w:r>
            <w:r>
              <w:rPr>
                <w:rFonts w:hint="eastAsia"/>
                <w:b/>
                <w:sz w:val="20"/>
                <w:lang w:eastAsia="zh-CN"/>
              </w:rPr>
              <w:t>》、</w:t>
            </w:r>
            <w:r>
              <w:rPr>
                <w:rFonts w:hint="eastAsia"/>
                <w:b/>
                <w:sz w:val="20"/>
                <w:lang w:val="en-US" w:eastAsia="zh-CN"/>
              </w:rPr>
              <w:t>SC审查细则等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1）果冻产品执行GB17399标准，不需型式检验；检验项目包括：铅、山梨酸及其钾盐、亮蓝、苋菜红、菌落总数、大肠菌群、酵母、霉菌等；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2）压片糖果产品执行GB17399标准，不需型式检验；检验项目包括：感官、三氯蔗糖、铅、菌落总数、大肠菌群；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3）凝胶糖果执行SB/T 10021-2017标准，有型式检验要求，检验项目：感官、干燥失重、铅、菌落总数、大肠菌群、净含量等；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4）植物饮料产品执行GB/T31326-2014标准，有型式检验要求，检验项目：感官、菌落总数、大肠菌群、酵母、沙门氏菌、金黄色葡萄球菌、三氯蔗糖、铅等；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5）风味固体饮料产品执行GB7101标准（客户要求），不需型式检验，检验项目包括：沙门氏菌、大肠菌群、菌落总数、霉菌、水分、铅等；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熟悉微生物、水分检测等基础知识。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-6373495</wp:posOffset>
                  </wp:positionV>
                  <wp:extent cx="598170" cy="346075"/>
                  <wp:effectExtent l="0" t="0" r="11430" b="9525"/>
                  <wp:wrapTight wrapText="bothSides">
                    <wp:wrapPolygon>
                      <wp:start x="0" y="0"/>
                      <wp:lineTo x="0" y="20609"/>
                      <wp:lineTo x="21096" y="20609"/>
                      <wp:lineTo x="21096" y="0"/>
                      <wp:lineTo x="0" y="0"/>
                    </wp:wrapPolygon>
                  </wp:wrapTight>
                  <wp:docPr id="4" name="图片 4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2022-07-13日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-6735445</wp:posOffset>
                  </wp:positionV>
                  <wp:extent cx="598170" cy="346075"/>
                  <wp:effectExtent l="0" t="0" r="11430" b="9525"/>
                  <wp:wrapTight wrapText="bothSides">
                    <wp:wrapPolygon>
                      <wp:start x="0" y="0"/>
                      <wp:lineTo x="0" y="20609"/>
                      <wp:lineTo x="21096" y="20609"/>
                      <wp:lineTo x="21096" y="0"/>
                      <wp:lineTo x="0" y="0"/>
                    </wp:wrapPolygon>
                  </wp:wrapTight>
                  <wp:docPr id="5" name="图片 5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2022-07-13日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p>
      <w:pPr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br w:type="page"/>
      </w: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772795</wp:posOffset>
            </wp:positionV>
            <wp:extent cx="2256790" cy="2966085"/>
            <wp:effectExtent l="0" t="0" r="3810" b="5715"/>
            <wp:wrapTight wrapText="bothSides">
              <wp:wrapPolygon>
                <wp:start x="0" y="0"/>
                <wp:lineTo x="0" y="21549"/>
                <wp:lineTo x="21515" y="21549"/>
                <wp:lineTo x="21515" y="0"/>
                <wp:lineTo x="0" y="0"/>
              </wp:wrapPolygon>
            </wp:wrapTight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824865</wp:posOffset>
            </wp:positionV>
            <wp:extent cx="2488565" cy="2860040"/>
            <wp:effectExtent l="0" t="0" r="26035" b="22860"/>
            <wp:wrapTight wrapText="bothSides">
              <wp:wrapPolygon>
                <wp:start x="0" y="0"/>
                <wp:lineTo x="0" y="21485"/>
                <wp:lineTo x="21495" y="21485"/>
                <wp:lineTo x="21495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工艺流程图：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120015</wp:posOffset>
            </wp:positionV>
            <wp:extent cx="3027045" cy="3898900"/>
            <wp:effectExtent l="0" t="0" r="8255" b="0"/>
            <wp:wrapTight wrapText="bothSides">
              <wp:wrapPolygon>
                <wp:start x="0" y="0"/>
                <wp:lineTo x="0" y="21530"/>
                <wp:lineTo x="21478" y="21530"/>
                <wp:lineTo x="21478" y="0"/>
                <wp:lineTo x="0" y="0"/>
              </wp:wrapPolygon>
            </wp:wrapTight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66040</wp:posOffset>
            </wp:positionV>
            <wp:extent cx="3197860" cy="3063875"/>
            <wp:effectExtent l="0" t="0" r="27940" b="22225"/>
            <wp:wrapTight wrapText="bothSides">
              <wp:wrapPolygon>
                <wp:start x="0" y="0"/>
                <wp:lineTo x="0" y="21488"/>
                <wp:lineTo x="21531" y="21488"/>
                <wp:lineTo x="21531" y="0"/>
                <wp:lineTo x="0" y="0"/>
              </wp:wrapPolygon>
            </wp:wrapTight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2858135</wp:posOffset>
            </wp:positionH>
            <wp:positionV relativeFrom="paragraph">
              <wp:posOffset>96520</wp:posOffset>
            </wp:positionV>
            <wp:extent cx="2728595" cy="3074035"/>
            <wp:effectExtent l="0" t="0" r="1905" b="12065"/>
            <wp:wrapTight wrapText="bothSides">
              <wp:wrapPolygon>
                <wp:start x="0" y="0"/>
                <wp:lineTo x="0" y="21506"/>
                <wp:lineTo x="21515" y="21506"/>
                <wp:lineTo x="21515" y="0"/>
                <wp:lineTo x="0" y="0"/>
              </wp:wrapPolygon>
            </wp:wrapTight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56417"/>
    <w:multiLevelType w:val="singleLevel"/>
    <w:tmpl w:val="E9B56417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49F37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2022-07-17T02:40:18Z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