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广州来鑫净化科技有限公司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14.02.04;18.02.06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14.02.04;18.02.06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罗芳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过滤器生产流程</w:t>
            </w:r>
          </w:p>
          <w:p>
            <w:pPr>
              <w:spacing w:line="400" w:lineRule="exact"/>
              <w:ind w:firstLine="422" w:firstLineChars="200"/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切料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--组框--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滤纸打折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组装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打A、B胶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泄露测试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清洁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贴密封垫片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--包装</w:t>
            </w:r>
          </w:p>
          <w:p>
            <w:pPr>
              <w:spacing w:line="400" w:lineRule="exact"/>
              <w:ind w:firstLine="422" w:firstLineChars="200"/>
              <w:rPr>
                <w:rFonts w:hint="default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过滤棉 生产流程</w:t>
            </w:r>
          </w:p>
          <w:p>
            <w:pPr>
              <w:spacing w:line="400" w:lineRule="exact"/>
              <w:ind w:firstLine="422" w:firstLineChars="200"/>
              <w:rPr>
                <w:rFonts w:hint="default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纤维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--开松--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称重混料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梳理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--铺网--针刺-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</w:rPr>
              <w:t>热风定型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--分切--收卷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过滤棉生产关键过程：称重混料，控制参数：重量，均匀度等，操作依据：作业指导书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GB/T14295-2019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空气过滤器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15240</wp:posOffset>
                  </wp:positionV>
                  <wp:extent cx="1016000" cy="3492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15240</wp:posOffset>
                  </wp:positionV>
                  <wp:extent cx="1016000" cy="349250"/>
                  <wp:effectExtent l="0" t="0" r="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taneo BT">
    <w:altName w:val="Courier New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PKPWQW+MicrosoftYaHei">
    <w:altName w:val="黑体"/>
    <w:panose1 w:val="020B0503020204020204"/>
    <w:charset w:val="01"/>
    <w:family w:val="swiss"/>
    <w:pitch w:val="default"/>
    <w:sig w:usb0="00000000" w:usb1="00000000" w:usb2="00000016" w:usb3="00000000" w:csb0="0004001F" w:csb1="00000000"/>
  </w:font>
  <w:font w:name="JPUEJG+MicrosoftYaHei-Bold">
    <w:altName w:val="黑体"/>
    <w:panose1 w:val="020B0703020204020201"/>
    <w:charset w:val="01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000000"/>
    <w:rsid w:val="05EB4EB7"/>
    <w:rsid w:val="1BDA0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2022-05-09T22:26:02Z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