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石家庄金高管业有限公司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河北省石家庄市元氏县马村乡营里新村（石家庄装备制造基地）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河北省石家庄市元氏县马村乡营里新村（石家庄装备制造基地）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霍培栋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15533980906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651355780@qq.com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PP-R冷热水管材管件、PE-RT耐热聚乙烯地暖管、PVC-U建筑排水用管材管件、PVC-U绝缘电工套管及PE管材管件的生产（需卫生批件除外）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14.02.01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QMS/SC-2018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2022年05月07日 上午至2022年05月07日 下午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1.0</w:t>
            </w:r>
            <w:bookmarkEnd w:id="2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</w:pPr>
      <w:r>
        <w:drawing>
          <wp:inline distT="0" distB="0" distL="114300" distR="114300">
            <wp:extent cx="5810250" cy="74206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7420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  <w:bookmarkStart w:id="25" w:name="_GoBack"/>
      <w:bookmarkEnd w:id="25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73"/>
        <w:gridCol w:w="917"/>
        <w:gridCol w:w="3883"/>
        <w:gridCol w:w="2342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ind w:firstLine="3990" w:firstLineChars="19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917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</w:t>
            </w:r>
          </w:p>
        </w:tc>
        <w:tc>
          <w:tcPr>
            <w:tcW w:w="3883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</w:p>
        </w:tc>
        <w:tc>
          <w:tcPr>
            <w:tcW w:w="2342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涉及条款</w:t>
            </w:r>
          </w:p>
        </w:tc>
        <w:tc>
          <w:tcPr>
            <w:tcW w:w="72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05-07</w:t>
            </w: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-08:15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首次会议</w:t>
            </w: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15-9:30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领导层</w:t>
            </w: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QMS：4.1/4.2/4.3/4.4/5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1/5.2/5.3/6.1/6.2/6.3/7.1.1/9.1.1/9.2/9.3/10.1 /10.3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883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部门岗位、职责和权限； 部门目标和实现计划；人员；组织的知识； 人员； 能力；意识；沟通；成文信息；分析和评价；内部审核； 不合格和纠正措施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5.3/6.2/7.1.2/7.1.6/7.2/7.3/7.4/7.5/9.1.3/ 9.2/10.2</w:t>
            </w: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883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部门目标和实现计划；产品和服务的要求；外部提供的过程、顾客或外部供方的财产；交付后的活动；顾客满意。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5.3/6.2/8.2/8.4/8.5.3/8.5.5/ 9.1.2</w:t>
            </w: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12: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休息</w:t>
            </w: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91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88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部门目标和实现计划；监视和测量资源，产品和服务的放行，不合格输出的控制。</w:t>
            </w:r>
          </w:p>
        </w:tc>
        <w:tc>
          <w:tcPr>
            <w:tcW w:w="2342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5.3/6.2/7.1.5/8.6/8.7 /10.2</w:t>
            </w:r>
          </w:p>
        </w:tc>
        <w:tc>
          <w:tcPr>
            <w:tcW w:w="726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  <w:shd w:val="clear" w:color="auto" w:fill="C7DAF1" w:themeFill="text2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30-16:45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（含车间晚班）车间晚班时间16：00-24：00</w:t>
            </w:r>
          </w:p>
        </w:tc>
        <w:tc>
          <w:tcPr>
            <w:tcW w:w="917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88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部门目标和实现 计划；基础设施；运行环境；运行的策划和控制；设计和开发策划；生产和服务提供的控制； 标识和可追溯性；防护；变更控制</w:t>
            </w:r>
          </w:p>
        </w:tc>
        <w:tc>
          <w:tcPr>
            <w:tcW w:w="2342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5.3/6.2/7.1.3/7.1.4/8.1/8.3/8.5.1/8.5.2/8. 5.4/8.5.6</w:t>
            </w:r>
          </w:p>
        </w:tc>
        <w:tc>
          <w:tcPr>
            <w:tcW w:w="726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45-17:00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A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53E18"/>
    <w:rsid w:val="46965159"/>
    <w:rsid w:val="4F23396A"/>
    <w:rsid w:val="7B664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ScaleCrop>false</ScaleCrop>
  <LinksUpToDate>false</LinksUpToDate>
  <CharactersWithSpaces>5336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2022-05-07T07:50:04Z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