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76" w:tblpY="63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9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75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受审核部门：物业部（多场所：</w:t>
            </w:r>
            <w:r>
              <w:rPr>
                <w:rFonts w:hint="eastAsia" w:ascii="Times New Roman" w:hAnsi="Times New Roman" w:cs="宋体"/>
                <w:lang w:val="en-US" w:eastAsia="zh-CN"/>
              </w:rPr>
              <w:t>华药1区</w:t>
            </w:r>
            <w:r>
              <w:rPr>
                <w:rFonts w:hint="eastAsia" w:ascii="Times New Roman" w:hAnsi="Times New Roman" w:eastAsia="宋体" w:cs="宋体"/>
                <w:lang w:val="en-US" w:eastAsia="zh-CN"/>
              </w:rPr>
              <w:t>）  主管领导：</w:t>
            </w:r>
            <w:r>
              <w:rPr>
                <w:rFonts w:hint="eastAsia" w:ascii="Times New Roman" w:hAnsi="Times New Roman" w:cs="宋体"/>
                <w:lang w:val="en-US" w:eastAsia="zh-CN"/>
              </w:rPr>
              <w:t>赵国丛</w:t>
            </w:r>
            <w:r>
              <w:rPr>
                <w:rFonts w:hint="eastAsia" w:ascii="Times New Roman" w:hAnsi="Times New Roman" w:eastAsia="宋体" w:cs="宋体"/>
                <w:lang w:val="en-US" w:eastAsia="zh-CN"/>
              </w:rPr>
              <w:t xml:space="preserve">    陪同人员: </w:t>
            </w:r>
            <w:r>
              <w:rPr>
                <w:rFonts w:hint="eastAsia" w:ascii="Times New Roman" w:hAnsi="Times New Roman" w:cs="宋体"/>
                <w:lang w:val="en-US" w:eastAsia="zh-CN"/>
              </w:rPr>
              <w:t>牛惠娟</w:t>
            </w:r>
          </w:p>
        </w:tc>
        <w:tc>
          <w:tcPr>
            <w:tcW w:w="834"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eastAsia="宋体" w:cs="宋体"/>
                <w:lang w:val="en-US" w:eastAsia="zh-CN"/>
              </w:rPr>
            </w:pPr>
          </w:p>
        </w:tc>
        <w:tc>
          <w:tcPr>
            <w:tcW w:w="960" w:type="dxa"/>
            <w:vMerge w:val="continue"/>
            <w:vAlign w:val="center"/>
          </w:tcPr>
          <w:p>
            <w:pPr>
              <w:rPr>
                <w:rFonts w:hint="eastAsia" w:ascii="Times New Roman" w:hAnsi="Times New Roman" w:eastAsia="宋体" w:cs="宋体"/>
                <w:lang w:val="en-US" w:eastAsia="zh-CN"/>
              </w:rPr>
            </w:pPr>
          </w:p>
        </w:tc>
        <w:tc>
          <w:tcPr>
            <w:tcW w:w="1075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 xml:space="preserve">审核员：吉洁          </w:t>
            </w:r>
            <w:r>
              <w:rPr>
                <w:rFonts w:hint="eastAsia" w:ascii="Times New Roman" w:hAnsi="Times New Roman" w:cs="宋体"/>
                <w:lang w:val="en-US" w:eastAsia="zh-CN"/>
              </w:rPr>
              <w:t xml:space="preserve">            </w:t>
            </w:r>
            <w:r>
              <w:rPr>
                <w:rFonts w:hint="eastAsia" w:ascii="Times New Roman" w:hAnsi="Times New Roman" w:eastAsia="宋体" w:cs="宋体"/>
                <w:lang w:val="en-US" w:eastAsia="zh-CN"/>
              </w:rPr>
              <w:t xml:space="preserve">     审核时间：2022.</w:t>
            </w:r>
            <w:r>
              <w:rPr>
                <w:rFonts w:hint="eastAsia" w:ascii="Times New Roman" w:hAnsi="Times New Roman" w:cs="宋体"/>
                <w:lang w:val="en-US" w:eastAsia="zh-CN"/>
              </w:rPr>
              <w:t>5.6</w:t>
            </w:r>
          </w:p>
        </w:tc>
        <w:tc>
          <w:tcPr>
            <w:tcW w:w="834" w:type="dxa"/>
            <w:vMerge w:val="continue"/>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eastAsia="宋体" w:cs="宋体"/>
                <w:lang w:val="en-US" w:eastAsia="zh-CN"/>
              </w:rPr>
            </w:pPr>
          </w:p>
        </w:tc>
        <w:tc>
          <w:tcPr>
            <w:tcW w:w="960" w:type="dxa"/>
            <w:vMerge w:val="continue"/>
            <w:vAlign w:val="center"/>
          </w:tcPr>
          <w:p>
            <w:pPr>
              <w:rPr>
                <w:rFonts w:hint="eastAsia" w:ascii="Times New Roman" w:hAnsi="Times New Roman" w:eastAsia="宋体" w:cs="宋体"/>
                <w:lang w:val="en-US" w:eastAsia="zh-CN"/>
              </w:rPr>
            </w:pPr>
          </w:p>
        </w:tc>
        <w:tc>
          <w:tcPr>
            <w:tcW w:w="1075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审核条款：QEO5.2/6.2；</w:t>
            </w:r>
            <w:r>
              <w:rPr>
                <w:rFonts w:hint="eastAsia" w:ascii="Times New Roman" w:hAnsi="Times New Roman" w:cs="宋体"/>
                <w:lang w:val="en-US" w:eastAsia="zh-CN"/>
              </w:rPr>
              <w:t>E</w:t>
            </w:r>
            <w:r>
              <w:rPr>
                <w:rFonts w:hint="eastAsia" w:ascii="Times New Roman" w:hAnsi="Times New Roman" w:eastAsia="宋体" w:cs="宋体"/>
                <w:lang w:val="en-US" w:eastAsia="zh-CN"/>
              </w:rPr>
              <w:t>O/6.1.2/8.1/8.2</w:t>
            </w:r>
          </w:p>
        </w:tc>
        <w:tc>
          <w:tcPr>
            <w:tcW w:w="834" w:type="dxa"/>
            <w:vMerge w:val="continue"/>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组织的岗位、职责权限</w:t>
            </w:r>
          </w:p>
        </w:tc>
        <w:tc>
          <w:tcPr>
            <w:tcW w:w="960"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QEO5.3</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0755"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●物业职责包括：</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1.负责</w:t>
            </w:r>
            <w:bookmarkStart w:id="0" w:name="_GoBack"/>
            <w:r>
              <w:rPr>
                <w:rFonts w:hint="eastAsia" w:ascii="Times New Roman" w:hAnsi="Times New Roman" w:eastAsia="宋体" w:cs="宋体"/>
                <w:lang w:val="en-US" w:eastAsia="zh-CN"/>
              </w:rPr>
              <w:t>各项目物业管理服务工作。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2.负责组织对服务实现过程的策划、质量计划的编制，对各项目物业管理实施、监督、检查和验收，对不合格品进行有效控制并制定合理</w:t>
            </w:r>
            <w:bookmarkEnd w:id="0"/>
            <w:r>
              <w:rPr>
                <w:rFonts w:hint="eastAsia" w:ascii="Times New Roman" w:hAnsi="Times New Roman" w:eastAsia="宋体" w:cs="宋体"/>
                <w:lang w:val="en-US" w:eastAsia="zh-CN"/>
              </w:rPr>
              <w:t>处置方案；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3.负责对本部门环境因素、职业健康安全风险的识别和评价，并确定重要环境因素、职业健康安全风险；</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4.组织制定操作规程和工作标准及所需的质量记录，提出评价考核奖惩办法并组织实施；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5.负责公司现场安全清洁管理，做好文明规范服务，并对顾客财产负责；</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7.配合公司做好内部验收、内部审核工作的实施和不合格产品的纠正，预防措施的落实；</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8.收集、整理和保管本部门的管理记录、对相关的数据收集传递和交流。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经现场询问负责人的回答与文件规定一致。</w:t>
            </w:r>
          </w:p>
        </w:tc>
        <w:tc>
          <w:tcPr>
            <w:tcW w:w="834" w:type="dxa"/>
            <w:vAlign w:val="top"/>
          </w:tcPr>
          <w:p>
            <w:pPr>
              <w:rPr>
                <w:rFonts w:hint="default" w:ascii="Times New Roman" w:hAnsi="Times New Roman" w:eastAsia="宋体" w:cs="宋体"/>
                <w:lang w:val="en-US" w:eastAsia="zh-CN"/>
              </w:rPr>
            </w:pPr>
            <w:r>
              <w:rPr>
                <w:rFonts w:hint="eastAsia" w:ascii="Times New Roman" w:hAnsi="Times New Roman"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目标和方案</w:t>
            </w:r>
          </w:p>
        </w:tc>
        <w:tc>
          <w:tcPr>
            <w:tcW w:w="960"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6.2</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0755"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●执行《管理手册》及《方针目标管理制度》</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部门目标：                                                     考核情况（202</w:t>
            </w:r>
            <w:r>
              <w:rPr>
                <w:rFonts w:hint="eastAsia" w:ascii="Times New Roman" w:hAnsi="Times New Roman" w:cs="宋体"/>
                <w:lang w:val="en-US" w:eastAsia="zh-CN"/>
              </w:rPr>
              <w:t>2</w:t>
            </w:r>
            <w:r>
              <w:rPr>
                <w:rFonts w:hint="eastAsia" w:ascii="Times New Roman" w:hAnsi="Times New Roman" w:eastAsia="宋体" w:cs="宋体"/>
                <w:lang w:val="en-US" w:eastAsia="zh-CN"/>
              </w:rPr>
              <w:t>年</w:t>
            </w:r>
            <w:r>
              <w:rPr>
                <w:rFonts w:hint="eastAsia" w:ascii="Times New Roman" w:hAnsi="Times New Roman" w:cs="宋体"/>
                <w:lang w:val="en-US" w:eastAsia="zh-CN"/>
              </w:rPr>
              <w:t>1</w:t>
            </w:r>
            <w:r>
              <w:rPr>
                <w:rFonts w:hint="eastAsia" w:ascii="Times New Roman" w:hAnsi="Times New Roman" w:eastAsia="宋体" w:cs="宋体"/>
                <w:lang w:val="en-US" w:eastAsia="zh-CN"/>
              </w:rPr>
              <w:t>季度）</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质量</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1.项目服务合格率95%以上</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2.保洁绿化面积卫生符合率≥95%</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3.垃圾运输处理及时率≥95%</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98%</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4.共用设施设备完好率≥90%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1.现场服务人员环保、消防培训有效，提高员工的环保意识,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最大限度防止服务现场火灾的发生</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现场服务员工环保、</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消防培训合格率100%，消防器材完好率100%，火灾发生率为“0”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2.排污达标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（生活垃圾及时清运，统一处理、减少对环境的影响。危险废弃物统一收集、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统一处理；可回收废弃物分类处理。）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生活垃圾及时清运率100%，统一处理率达100%。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3.节能降耗</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电能年节约1%；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水资源年降耗2%。</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达标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4.保洁产生固体废弃物实现分类收集，统一处理，提高回收利用量</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固体废弃物“分类率”达100%，准确处理率达100%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实现对项目服务提供所涉及到的管理活动有效控制，杜绝重大人身及责任事件；</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重大工伤事故为0。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未发生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2.无火灾事故发生。</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火灾发生率为0。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未发生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3.安全防护措施完整率100%，安全生产责任制度完整、实施率100%</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安全防护措施完整率100%，安全生产责任制度完整、实施率100%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4.应急演练实施率及有效率100%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应急演练实施率及有效率100%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●环境和职业健康安全体系建立了管理方案，查管理方案表：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1、办公用硒鼓、墨盒等固废等原材料废弃物等分类收集保管，交由相应部门处置；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2、杜绝火灾发生，制定了管理方案并严格执行，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1)配备必要的防火设施（包括灭火器a、消防栓等）并保证其完好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2)成立应急响应工作小组（见《应急预案》）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3)淘汰过期、报废设备,对灭火器更新；每年进行一次消防演习。</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执行部门：各部门，执行日期：2022年1月-2022年12月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3、电线老化引发火灾、临时接电触电,管理方案：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1)电线检修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2)对职工进行安全教育培训。</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执行部门：各部门，执行日期：2022年1月-2020年12月。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●查2022年度目标、指标制定情况，考核结果：</w:t>
            </w:r>
            <w:r>
              <w:rPr>
                <w:rFonts w:hint="eastAsia" w:ascii="Times New Roman" w:hAnsi="Times New Roman" w:cs="宋体"/>
                <w:lang w:val="en-US" w:eastAsia="zh-CN"/>
              </w:rPr>
              <w:t>阶段性完成，</w:t>
            </w:r>
            <w:r>
              <w:rPr>
                <w:rFonts w:hint="eastAsia" w:ascii="Times New Roman" w:hAnsi="Times New Roman" w:eastAsia="宋体" w:cs="宋体"/>
                <w:lang w:val="en-US" w:eastAsia="zh-CN"/>
              </w:rPr>
              <w:t>制定的指标和管理方案基本可行。</w:t>
            </w:r>
          </w:p>
        </w:tc>
        <w:tc>
          <w:tcPr>
            <w:tcW w:w="834" w:type="dxa"/>
            <w:vAlign w:val="top"/>
          </w:tcPr>
          <w:p>
            <w:pPr>
              <w:rPr>
                <w:rFonts w:hint="default" w:ascii="Times New Roman" w:hAnsi="Times New Roman" w:eastAsia="宋体" w:cs="宋体"/>
                <w:lang w:val="en-US" w:eastAsia="zh-CN"/>
              </w:rPr>
            </w:pPr>
            <w:r>
              <w:rPr>
                <w:rFonts w:hint="eastAsia" w:ascii="Times New Roman" w:hAnsi="Times New Roman"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环境因素</w:t>
            </w:r>
          </w:p>
        </w:tc>
        <w:tc>
          <w:tcPr>
            <w:tcW w:w="9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E6.1.2</w:t>
            </w:r>
          </w:p>
          <w:p>
            <w:pPr>
              <w:rPr>
                <w:rFonts w:hint="eastAsia" w:ascii="Times New Roman" w:hAnsi="Times New Roman" w:eastAsia="宋体" w:cs="宋体"/>
                <w:lang w:val="en-US" w:eastAsia="zh-CN"/>
              </w:rPr>
            </w:pPr>
          </w:p>
        </w:tc>
        <w:tc>
          <w:tcPr>
            <w:tcW w:w="1075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●提供的“环境因素识别评价表”“重要环境因素清单”， 评价考虑了三种时态现在、过去、将来、三种状态、异常、正常、紧急考虑了法律法规，并进行了评价，识别物业管理过程，用打分法考虑了法规符合性、发生频次、影响范围等, 通过定性判断法，共识别出重大环境因素2项：固废排放、火灾，评价符合程序要求及公司的实际情况。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●对重要环境因素的控制措施包括制定管理制度、监督检查、应急预案、培训等。提供《重要环境因素识别清单》，其中物业部涉及的重要环境因素：固废排放、意外火灾的发生，评价基本合理。</w:t>
            </w:r>
          </w:p>
        </w:tc>
        <w:tc>
          <w:tcPr>
            <w:tcW w:w="834" w:type="dxa"/>
            <w:vAlign w:val="top"/>
          </w:tcPr>
          <w:p>
            <w:pPr>
              <w:rPr>
                <w:rFonts w:hint="default" w:ascii="Times New Roman" w:hAnsi="Times New Roman" w:eastAsia="宋体" w:cs="宋体"/>
                <w:lang w:val="en-US" w:eastAsia="zh-CN"/>
              </w:rPr>
            </w:pPr>
            <w:r>
              <w:rPr>
                <w:rFonts w:hint="eastAsia" w:ascii="Times New Roman" w:hAnsi="Times New Roman"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危险源识别</w:t>
            </w:r>
          </w:p>
        </w:tc>
        <w:tc>
          <w:tcPr>
            <w:tcW w:w="9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O6.1.2</w:t>
            </w:r>
          </w:p>
        </w:tc>
        <w:tc>
          <w:tcPr>
            <w:tcW w:w="10755"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●用LEC法对识别的危险源进行评价，本部门不可接受风险火灾、触电，评价基本准确。</w:t>
            </w:r>
          </w:p>
        </w:tc>
        <w:tc>
          <w:tcPr>
            <w:tcW w:w="834" w:type="dxa"/>
            <w:vAlign w:val="top"/>
          </w:tcPr>
          <w:p>
            <w:pPr>
              <w:rPr>
                <w:rFonts w:hint="default" w:ascii="Times New Roman" w:hAnsi="Times New Roman" w:eastAsia="宋体" w:cs="宋体"/>
                <w:lang w:val="en-US" w:eastAsia="zh-CN"/>
              </w:rPr>
            </w:pPr>
            <w:r>
              <w:rPr>
                <w:rFonts w:hint="eastAsia" w:ascii="Times New Roman" w:hAnsi="Times New Roman"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160" w:type="dxa"/>
            <w:vMerge w:val="continue"/>
            <w:vAlign w:val="top"/>
          </w:tcPr>
          <w:p>
            <w:pPr>
              <w:rPr>
                <w:rFonts w:hint="eastAsia" w:ascii="Times New Roman" w:hAnsi="Times New Roman" w:eastAsia="宋体" w:cs="宋体"/>
                <w:lang w:val="en-US" w:eastAsia="zh-CN"/>
              </w:rPr>
            </w:pPr>
          </w:p>
        </w:tc>
        <w:tc>
          <w:tcPr>
            <w:tcW w:w="960" w:type="dxa"/>
            <w:vMerge w:val="continue"/>
            <w:vAlign w:val="top"/>
          </w:tcPr>
          <w:p>
            <w:pPr>
              <w:rPr>
                <w:rFonts w:hint="eastAsia" w:ascii="Times New Roman" w:hAnsi="Times New Roman" w:eastAsia="宋体" w:cs="宋体"/>
                <w:lang w:val="en-US" w:eastAsia="zh-CN"/>
              </w:rPr>
            </w:pPr>
          </w:p>
        </w:tc>
        <w:tc>
          <w:tcPr>
            <w:tcW w:w="10755" w:type="dxa"/>
            <w:vMerge w:val="continue"/>
            <w:vAlign w:val="top"/>
          </w:tcPr>
          <w:p>
            <w:pPr>
              <w:rPr>
                <w:rFonts w:hint="eastAsia" w:ascii="Times New Roman" w:hAnsi="Times New Roman" w:eastAsia="宋体" w:cs="宋体"/>
                <w:lang w:val="en-US" w:eastAsia="zh-CN"/>
              </w:rPr>
            </w:pPr>
          </w:p>
        </w:tc>
        <w:tc>
          <w:tcPr>
            <w:tcW w:w="834" w:type="dxa"/>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运行控制</w:t>
            </w:r>
          </w:p>
        </w:tc>
        <w:tc>
          <w:tcPr>
            <w:tcW w:w="9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E8.1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O8.1</w:t>
            </w:r>
          </w:p>
        </w:tc>
        <w:tc>
          <w:tcPr>
            <w:tcW w:w="1075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1、公司制定并执行“环境及职业健康安全运行控制程序”、“环境管理制度”、“安全检查制度”、“能源消耗考核管理制度”等。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2、废水</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公司的的物业管理不产生废水，办公用水最后排入市政管网。</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3、废气</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物业管理不产生废气，公司清扫地面及临时场所服务时，有少量的灰尘产生，公司发口罩，对员工进行个体防护</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固废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物业管理过程中会产生废气的纸屑、果皮等垃圾，统一交环卫进行收集处理。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办公墨盒、电池等由厂家回收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能资源管理：公司规定人走灯灭，人走关水等节能节水措施，并互相监督</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6、办公区域:，现场查看办公区域环境整洁、宽敞、办公设备状态良好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7、工作时间平均每天不超过8小时。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8、远程查看办公区域，整洁、光线充足、室内空气良好、配置有空调，办公条件较好，办公设备安全状态良好，教育员工正确使用办公设备，现场用电基本规范，无乱拉线现象，防止火灾发生。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9、相关方施加影响：公司能够控制或能够施加影响的相关方有顾客等。提供了“致相关方的公开信”，将公司的环境/安全控制要求发放到了所有相关方:运输公司\供应商\外来员工等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10、驾驶员要求遵守道路交通安全法规，不违章驾车，驾驶证和车辆定期年审，确保行车安全。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11.公司给员工每年进行体检，见到体检报告，给员工上社保，见到社保缴费记录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12、火灾控制:（1）公司物业管理办公楼配置有相应数量的灭火器和消防栓，经常检查灭火器材的状况，消防水龙头是否正常，灭火器压力是否足够等。发现问题立即解决，并做好记录;（2）经常检查，及时发现火险隐患并作出正确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13、随时检查清理物业管理现场，可燃物不随意堆积，如有堆积必须配备相应的灭火器材;;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14、触电管理：随时对电气线路进行检查，防止因短路、过载和接触电阻过大等原因产生电火花或引起电线电缆温度过高而引发火灾。同时电动机机壳必须装有良好的接地保护;</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15、意外伤害控制：工作时间不吸烟喝酒、不酒后驾车等，对员工开展安全教育</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运行符合要求</w:t>
            </w:r>
          </w:p>
        </w:tc>
        <w:tc>
          <w:tcPr>
            <w:tcW w:w="834" w:type="dxa"/>
            <w:vAlign w:val="top"/>
          </w:tcPr>
          <w:p>
            <w:pPr>
              <w:rPr>
                <w:rFonts w:hint="default" w:ascii="Times New Roman" w:hAnsi="Times New Roman" w:eastAsia="宋体" w:cs="宋体"/>
                <w:lang w:val="en-US" w:eastAsia="zh-CN"/>
              </w:rPr>
            </w:pPr>
            <w:r>
              <w:rPr>
                <w:rFonts w:hint="eastAsia" w:ascii="Times New Roman" w:hAnsi="Times New Roman"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应急准备和响应</w:t>
            </w:r>
          </w:p>
        </w:tc>
        <w:tc>
          <w:tcPr>
            <w:tcW w:w="960" w:type="dxa"/>
            <w:vAlign w:val="center"/>
          </w:tcPr>
          <w:p>
            <w:pPr>
              <w:rPr>
                <w:rFonts w:hint="eastAsia" w:ascii="Times New Roman" w:hAnsi="Times New Roman" w:eastAsia="宋体" w:cs="宋体"/>
                <w:lang w:val="en-US" w:eastAsia="zh-CN"/>
              </w:rPr>
            </w:pPr>
            <w:r>
              <w:rPr>
                <w:rFonts w:hint="eastAsia" w:ascii="Times New Roman" w:hAnsi="Times New Roman" w:cs="宋体"/>
                <w:lang w:val="en-US" w:eastAsia="zh-CN"/>
              </w:rPr>
              <w:t>E</w:t>
            </w:r>
            <w:r>
              <w:rPr>
                <w:rFonts w:hint="eastAsia" w:ascii="Times New Roman" w:hAnsi="Times New Roman" w:eastAsia="宋体" w:cs="宋体"/>
                <w:lang w:val="en-US" w:eastAsia="zh-CN"/>
              </w:rPr>
              <w:t>O8.2</w:t>
            </w:r>
          </w:p>
        </w:tc>
        <w:tc>
          <w:tcPr>
            <w:tcW w:w="1075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物业部</w:t>
            </w:r>
            <w:r>
              <w:rPr>
                <w:rFonts w:hint="eastAsia" w:ascii="Times New Roman" w:hAnsi="Times New Roman" w:eastAsia="宋体" w:cs="宋体"/>
                <w:lang w:val="en-US" w:eastAsia="zh-CN"/>
              </w:rPr>
              <w:t>2021年12月22日进行消防演练，</w:t>
            </w:r>
            <w:r>
              <w:rPr>
                <w:rFonts w:hint="eastAsia" w:ascii="Times New Roman" w:hAnsi="Times New Roman" w:eastAsia="宋体" w:cs="宋体"/>
                <w:lang w:val="en-US" w:eastAsia="zh-CN"/>
              </w:rPr>
              <w:t>2021年11月15日进行了打草机割伤的工伤演练，演练记录完整，有评审记录。</w:t>
            </w:r>
          </w:p>
        </w:tc>
        <w:tc>
          <w:tcPr>
            <w:tcW w:w="834" w:type="dxa"/>
            <w:vAlign w:val="top"/>
          </w:tcPr>
          <w:p>
            <w:pPr>
              <w:rPr>
                <w:rFonts w:hint="default" w:ascii="Times New Roman" w:hAnsi="Times New Roman" w:eastAsia="宋体" w:cs="宋体"/>
                <w:lang w:val="en-US" w:eastAsia="zh-CN"/>
              </w:rPr>
            </w:pPr>
            <w:r>
              <w:rPr>
                <w:rFonts w:hint="eastAsia" w:ascii="Times New Roman" w:hAnsi="Times New Roman" w:cs="宋体"/>
                <w:lang w:val="en-US" w:eastAsia="zh-CN"/>
              </w:rPr>
              <w:t>Y</w:t>
            </w:r>
          </w:p>
        </w:tc>
      </w:tr>
    </w:tbl>
    <w:p>
      <w:r>
        <w:ptab w:relativeTo="margin" w:alignment="center" w:leader="none"/>
      </w:r>
    </w:p>
    <w:p>
      <w:pPr>
        <w:pStyle w:val="2"/>
        <w:ind w:firstLine="5700" w:firstLineChars="1500"/>
      </w:pPr>
      <w:r>
        <w:rPr>
          <w:rFonts w:hint="eastAsia" w:ascii="隶书" w:hAnsi="宋体" w:eastAsia="隶书"/>
          <w:bCs/>
          <w:color w:val="000000"/>
          <w:sz w:val="36"/>
          <w:szCs w:val="36"/>
          <w:lang w:val="en-US" w:eastAsia="zh-CN"/>
        </w:rPr>
        <w:t xml:space="preserve"> </w:t>
      </w:r>
    </w:p>
    <w:p>
      <w:pPr>
        <w:pStyle w:val="2"/>
      </w:pPr>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9973B4"/>
    <w:rsid w:val="000237F6"/>
    <w:rsid w:val="0003373A"/>
    <w:rsid w:val="000E6BC4"/>
    <w:rsid w:val="001946AD"/>
    <w:rsid w:val="001A2D7F"/>
    <w:rsid w:val="00337922"/>
    <w:rsid w:val="00340867"/>
    <w:rsid w:val="00380837"/>
    <w:rsid w:val="003A198A"/>
    <w:rsid w:val="003D4ACE"/>
    <w:rsid w:val="00410914"/>
    <w:rsid w:val="004B7964"/>
    <w:rsid w:val="00536930"/>
    <w:rsid w:val="00564E53"/>
    <w:rsid w:val="005B4A17"/>
    <w:rsid w:val="00644FE2"/>
    <w:rsid w:val="0067640C"/>
    <w:rsid w:val="006E41CD"/>
    <w:rsid w:val="006E678B"/>
    <w:rsid w:val="007757F3"/>
    <w:rsid w:val="0079159C"/>
    <w:rsid w:val="007E6AEB"/>
    <w:rsid w:val="00896F40"/>
    <w:rsid w:val="008973EE"/>
    <w:rsid w:val="00971600"/>
    <w:rsid w:val="009973B4"/>
    <w:rsid w:val="009C28C1"/>
    <w:rsid w:val="009F7EED"/>
    <w:rsid w:val="00AF0AAB"/>
    <w:rsid w:val="00B160F8"/>
    <w:rsid w:val="00BD0A6B"/>
    <w:rsid w:val="00BF597E"/>
    <w:rsid w:val="00C51A36"/>
    <w:rsid w:val="00C55228"/>
    <w:rsid w:val="00CE315A"/>
    <w:rsid w:val="00D06F59"/>
    <w:rsid w:val="00D8388C"/>
    <w:rsid w:val="00EB0164"/>
    <w:rsid w:val="00ED0F62"/>
    <w:rsid w:val="02514836"/>
    <w:rsid w:val="02B84719"/>
    <w:rsid w:val="03640893"/>
    <w:rsid w:val="060404CA"/>
    <w:rsid w:val="062A1D8F"/>
    <w:rsid w:val="069E7BAA"/>
    <w:rsid w:val="07C92734"/>
    <w:rsid w:val="087032D5"/>
    <w:rsid w:val="08EC1CBD"/>
    <w:rsid w:val="09F832E0"/>
    <w:rsid w:val="0AE65CCB"/>
    <w:rsid w:val="0B250CFE"/>
    <w:rsid w:val="0DB71123"/>
    <w:rsid w:val="0FB77A13"/>
    <w:rsid w:val="102A2CE8"/>
    <w:rsid w:val="108219C2"/>
    <w:rsid w:val="113A015C"/>
    <w:rsid w:val="15AB31D4"/>
    <w:rsid w:val="170D1054"/>
    <w:rsid w:val="1EB0164A"/>
    <w:rsid w:val="201C35DE"/>
    <w:rsid w:val="21DC1675"/>
    <w:rsid w:val="24FE116D"/>
    <w:rsid w:val="25EB74EE"/>
    <w:rsid w:val="28491A9D"/>
    <w:rsid w:val="2D807A3F"/>
    <w:rsid w:val="2E4E2574"/>
    <w:rsid w:val="30A27C87"/>
    <w:rsid w:val="312266EE"/>
    <w:rsid w:val="34524295"/>
    <w:rsid w:val="347D2A62"/>
    <w:rsid w:val="34ED1C2F"/>
    <w:rsid w:val="35023662"/>
    <w:rsid w:val="351279DA"/>
    <w:rsid w:val="39A30999"/>
    <w:rsid w:val="3DAC16ED"/>
    <w:rsid w:val="3E03163F"/>
    <w:rsid w:val="3E183177"/>
    <w:rsid w:val="3F7C1E7D"/>
    <w:rsid w:val="41C05420"/>
    <w:rsid w:val="42097175"/>
    <w:rsid w:val="49825C8B"/>
    <w:rsid w:val="4A070FDC"/>
    <w:rsid w:val="4A5F6016"/>
    <w:rsid w:val="4D2860C7"/>
    <w:rsid w:val="4DE94ACF"/>
    <w:rsid w:val="50AE1FD3"/>
    <w:rsid w:val="51420C81"/>
    <w:rsid w:val="52447F1C"/>
    <w:rsid w:val="5467144E"/>
    <w:rsid w:val="57A90B6C"/>
    <w:rsid w:val="5B270D40"/>
    <w:rsid w:val="5C9406EC"/>
    <w:rsid w:val="5EA12B9A"/>
    <w:rsid w:val="5F8A1BA7"/>
    <w:rsid w:val="60E1299B"/>
    <w:rsid w:val="6147060A"/>
    <w:rsid w:val="61DC0836"/>
    <w:rsid w:val="620454D7"/>
    <w:rsid w:val="62F43393"/>
    <w:rsid w:val="68B5413B"/>
    <w:rsid w:val="6991333C"/>
    <w:rsid w:val="6A403FC3"/>
    <w:rsid w:val="6CFB6932"/>
    <w:rsid w:val="6D2C467F"/>
    <w:rsid w:val="6EEF7A0A"/>
    <w:rsid w:val="704E5E24"/>
    <w:rsid w:val="70D84008"/>
    <w:rsid w:val="70E423C0"/>
    <w:rsid w:val="71474E7E"/>
    <w:rsid w:val="72C70F1A"/>
    <w:rsid w:val="73AF1E51"/>
    <w:rsid w:val="74821EB4"/>
    <w:rsid w:val="7AD02CAD"/>
    <w:rsid w:val="7AE8376A"/>
    <w:rsid w:val="7BFB0B28"/>
    <w:rsid w:val="7D5A671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99"/>
    <w:pPr>
      <w:spacing w:after="120"/>
    </w:pPr>
    <w:rPr>
      <w:szCs w:val="24"/>
    </w:rPr>
  </w:style>
  <w:style w:type="paragraph" w:styleId="5">
    <w:name w:val="Plain Text"/>
    <w:basedOn w:val="1"/>
    <w:qFormat/>
    <w:uiPriority w:val="0"/>
    <w:rPr>
      <w:rFonts w:ascii="宋体" w:hAnsi="Courier New"/>
      <w:sz w:val="24"/>
    </w:r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338DE6"/>
      <w:u w:val="none"/>
    </w:rPr>
  </w:style>
  <w:style w:type="paragraph" w:customStyle="1" w:styleId="13">
    <w:name w:val="正文 首行缩进:  2 字符"/>
    <w:basedOn w:val="1"/>
    <w:qFormat/>
    <w:uiPriority w:val="0"/>
    <w:pPr>
      <w:ind w:firstLine="200" w:firstLineChars="200"/>
    </w:pPr>
    <w:rPr>
      <w:rFonts w:cs="宋体"/>
      <w:sz w:val="24"/>
      <w:szCs w:val="20"/>
    </w:rPr>
  </w:style>
  <w:style w:type="character" w:customStyle="1" w:styleId="14">
    <w:name w:val="页眉 字符"/>
    <w:basedOn w:val="11"/>
    <w:link w:val="8"/>
    <w:qFormat/>
    <w:uiPriority w:val="99"/>
    <w:rPr>
      <w:rFonts w:ascii="Times New Roman" w:hAnsi="Times New Roman" w:eastAsia="宋体" w:cs="Times New Roman"/>
      <w:sz w:val="18"/>
      <w:szCs w:val="18"/>
    </w:rPr>
  </w:style>
  <w:style w:type="character" w:customStyle="1" w:styleId="15">
    <w:name w:val="页脚 字符"/>
    <w:basedOn w:val="11"/>
    <w:link w:val="7"/>
    <w:qFormat/>
    <w:uiPriority w:val="99"/>
    <w:rPr>
      <w:rFonts w:ascii="Times New Roman" w:hAnsi="Times New Roman" w:eastAsia="宋体" w:cs="Times New Roman"/>
      <w:sz w:val="18"/>
      <w:szCs w:val="18"/>
    </w:rPr>
  </w:style>
  <w:style w:type="character" w:customStyle="1" w:styleId="16">
    <w:name w:val="批注框文本 字符"/>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info-content-text"/>
    <w:basedOn w:val="11"/>
    <w:qFormat/>
    <w:uiPriority w:val="0"/>
  </w:style>
  <w:style w:type="character" w:customStyle="1" w:styleId="19">
    <w:name w:val="info-expand-btn"/>
    <w:basedOn w:val="11"/>
    <w:qFormat/>
    <w:uiPriority w:val="0"/>
  </w:style>
  <w:style w:type="paragraph" w:customStyle="1" w:styleId="2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13834</Words>
  <Characters>14934</Characters>
  <Lines>50</Lines>
  <Paragraphs>14</Paragraphs>
  <TotalTime>1</TotalTime>
  <ScaleCrop>false</ScaleCrop>
  <LinksUpToDate>false</LinksUpToDate>
  <CharactersWithSpaces>15434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2022-05-31T15:13:32Z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5302821E87B74D3CBE9E1B578D4AF982</vt:lpwstr>
  </property>
</Properties>
</file>