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pStyle w:val="2"/>
        <w:rPr>
          <w:rFonts w:hint="eastAsia"/>
          <w:b/>
          <w:color w:val="000000" w:themeColor="text1"/>
          <w:sz w:val="21"/>
          <w:szCs w:val="21"/>
        </w:rPr>
      </w:pPr>
      <w:r>
        <w:drawing>
          <wp:inline distT="0" distB="0" distL="114300" distR="114300">
            <wp:extent cx="6147435" cy="820991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82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0364-2022-QEO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河北凯得立服装有限公司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91131124MA0DTHDQ98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8人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Q:8,E:8,O:8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河北凯得立服装有限公司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Q：服装（校服）、床上用品（棉被、棉垫、床单、被罩）的销售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E：服装（校服）、床上用品（棉被、棉垫、床单、被罩）的销售所涉及场所的相关环境管理活动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O：服装（校服）、床上用品（棉被、棉垫、床单、被罩）的销售所涉及场所相关的职业健康安全管理活动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河北省衡水市饶阳县大尹村镇大迁民村38号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河北省衡水市饶阳县大尹村镇大迁民村38号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250825</wp:posOffset>
                  </wp:positionV>
                  <wp:extent cx="524510" cy="280670"/>
                  <wp:effectExtent l="0" t="0" r="8890" b="8890"/>
                  <wp:wrapSquare wrapText="bothSides"/>
                  <wp:docPr id="2" name="图片 2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</w:rPr>
        <w:t>附件1：</w:t>
      </w:r>
      <w:r>
        <w:rPr>
          <w:rFonts w:hint="eastAsia"/>
          <w:lang w:val="en-GB"/>
        </w:rPr>
        <w:t>用于多场所认证项目（</w:t>
      </w:r>
      <w:r>
        <w:rPr>
          <w:rFonts w:hint="eastAsia"/>
        </w:rPr>
        <w:t>分证书</w:t>
      </w:r>
      <w:r>
        <w:rPr>
          <w:rFonts w:hint="eastAsia"/>
          <w:lang w:val="en-GB"/>
        </w:rPr>
        <w:t>）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01312C6"/>
    <w:rsid w:val="153512CD"/>
    <w:rsid w:val="202C4A08"/>
    <w:rsid w:val="2C4816CB"/>
    <w:rsid w:val="2E3D64AF"/>
    <w:rsid w:val="71637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625</Words>
  <Characters>1097</Characters>
  <Lines>18</Lines>
  <Paragraphs>5</Paragraphs>
  <TotalTime>1</TotalTime>
  <ScaleCrop>false</ScaleCrop>
  <LinksUpToDate>false</LinksUpToDate>
  <CharactersWithSpaces>1264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2022-05-08T15:48:36Z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