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0364-2022-QEO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河北凯得立服装有限公司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河北凯得立服装有限公司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河北省衡水市饶阳县大尹村镇大迁民村38号</w:t>
            </w:r>
            <w:bookmarkEnd w:id="6"/>
          </w:p>
        </w:tc>
        <w:tc>
          <w:tcPr>
            <w:tcW w:w="1242" w:type="dxa"/>
            <w:vMerge w:val="restart"/>
            <w:vAlign w:val="center"/>
          </w:tcPr>
          <w:p>
            <w:r>
              <w:rPr>
                <w:rFonts w:hint="eastAsia"/>
              </w:rPr>
              <w:t>邮编</w:t>
            </w:r>
          </w:p>
        </w:tc>
        <w:tc>
          <w:tcPr>
            <w:tcW w:w="1771" w:type="dxa"/>
          </w:tcPr>
          <w:p>
            <w:bookmarkStart w:id="7" w:name="注册邮编"/>
            <w:r>
              <w:t>053900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河北省衡水市饶阳县大尹村镇大迁民村38号</w:t>
            </w:r>
            <w:bookmarkEnd w:id="8"/>
          </w:p>
        </w:tc>
        <w:tc>
          <w:tcPr>
            <w:tcW w:w="1242" w:type="dxa"/>
            <w:vMerge w:val="continue"/>
            <w:vAlign w:val="center"/>
          </w:tcPr>
          <w:p/>
        </w:tc>
        <w:tc>
          <w:tcPr>
            <w:tcW w:w="1771" w:type="dxa"/>
          </w:tcPr>
          <w:p>
            <w:bookmarkStart w:id="9" w:name="办公邮编"/>
            <w:r>
              <w:t>053900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常建立</w:t>
            </w:r>
            <w:bookmarkEnd w:id="10"/>
          </w:p>
        </w:tc>
        <w:tc>
          <w:tcPr>
            <w:tcW w:w="1313" w:type="dxa"/>
            <w:vAlign w:val="center"/>
          </w:tcPr>
          <w:p>
            <w:r>
              <w:rPr>
                <w:rFonts w:hint="eastAsia"/>
              </w:rPr>
              <w:t>电话.</w:t>
            </w:r>
          </w:p>
        </w:tc>
        <w:tc>
          <w:tcPr>
            <w:tcW w:w="2180" w:type="dxa"/>
            <w:vAlign w:val="center"/>
          </w:tcPr>
          <w:p>
            <w:bookmarkStart w:id="11" w:name="联系人电话"/>
            <w:r>
              <w:t>13831823786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常建立</w:t>
            </w:r>
            <w:bookmarkEnd w:id="13"/>
          </w:p>
        </w:tc>
        <w:tc>
          <w:tcPr>
            <w:tcW w:w="1313" w:type="dxa"/>
            <w:vAlign w:val="center"/>
          </w:tcPr>
          <w:p>
            <w:r>
              <w:rPr>
                <w:rFonts w:hint="eastAsia"/>
              </w:rPr>
              <w:t>管理者代表</w:t>
            </w:r>
          </w:p>
        </w:tc>
        <w:tc>
          <w:tcPr>
            <w:tcW w:w="2180" w:type="dxa"/>
          </w:tcPr>
          <w:p>
            <w:bookmarkStart w:id="14" w:name="管理者代表"/>
            <w:r>
              <w:t>常建立</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23"/>
              <w:spacing w:line="240" w:lineRule="auto"/>
              <w:ind w:firstLine="420" w:firstLineChars="200"/>
              <w:rPr>
                <w:rFonts w:hint="eastAsia" w:ascii="Times New Roman" w:hAnsi="Times New Roman"/>
                <w:sz w:val="21"/>
                <w:szCs w:val="21"/>
              </w:rPr>
            </w:pPr>
            <w:r>
              <w:rPr>
                <w:rFonts w:hint="eastAsia" w:ascii="Times New Roman" w:hAnsi="Times New Roman"/>
                <w:sz w:val="21"/>
                <w:szCs w:val="21"/>
              </w:rPr>
              <w:t>顾客需求-合同评审-签订合同-产品采购-</w:t>
            </w:r>
            <w:r>
              <w:rPr>
                <w:rFonts w:hint="eastAsia" w:ascii="Times New Roman" w:hAnsi="Times New Roman"/>
                <w:sz w:val="21"/>
                <w:szCs w:val="21"/>
                <w:lang w:val="en-US" w:eastAsia="zh-CN"/>
              </w:rPr>
              <w:t>供方发货</w:t>
            </w:r>
            <w:r>
              <w:rPr>
                <w:rFonts w:hint="eastAsia" w:ascii="Times New Roman" w:hAnsi="Times New Roman"/>
                <w:sz w:val="21"/>
                <w:szCs w:val="21"/>
              </w:rPr>
              <w:t>-</w:t>
            </w:r>
            <w:r>
              <w:rPr>
                <w:rFonts w:hint="eastAsia" w:ascii="Times New Roman" w:hAnsi="Times New Roman"/>
                <w:sz w:val="21"/>
                <w:szCs w:val="21"/>
                <w:lang w:val="en-US" w:eastAsia="zh-CN"/>
              </w:rPr>
              <w:t>客户验收</w:t>
            </w:r>
            <w:r>
              <w:rPr>
                <w:rFonts w:hint="eastAsia" w:ascii="Times New Roman" w:hAnsi="Times New Roman"/>
                <w:sz w:val="21"/>
                <w:szCs w:val="21"/>
              </w:rPr>
              <w:t>-售后服务。</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2022年04月29日 上午至2022年04月29日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河北省衡水市饶阳县大尹村镇大迁民村38号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Q：服装（校服）、床上用品（棉被、棉垫、床单、被罩）的销售</w:t>
            </w:r>
          </w:p>
          <w:p>
            <w:r>
              <w:t>E：服装（校服）、床上用品（棉被、棉垫、床单、被罩）的销售所涉及场所的相关环境管理活动</w:t>
            </w:r>
          </w:p>
          <w:p>
            <w:r>
              <w:t>O：服装（校服）、床上用品（棉被、棉垫、床单、被罩）的销售所涉及场所相关的职业健康安全管理活动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Q：29.08.01;29.08.02</w:t>
            </w:r>
          </w:p>
          <w:p>
            <w:r>
              <w:t>E：29.08.01;29.08.02</w:t>
            </w:r>
          </w:p>
          <w:p>
            <w:r>
              <w:t>O：29.08.01;29.08.02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3</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ascii="Times New Roman" w:hAnsi="Times New Roman"/>
                <w:sz w:val="21"/>
                <w:szCs w:val="21"/>
                <w:lang w:eastAsia="zh-CN"/>
              </w:rPr>
              <w:t>河北凯得立服装有限公司；</w:t>
            </w:r>
            <w:r>
              <w:t>河北省衡水市饶阳县大尹村镇大迁民村38号</w:t>
            </w:r>
          </w:p>
        </w:tc>
        <w:tc>
          <w:tcPr>
            <w:tcW w:w="2267" w:type="dxa"/>
          </w:tcPr>
          <w:p>
            <w:pPr>
              <w:rPr>
                <w:lang w:val="de-DE" w:eastAsia="ja-JP"/>
              </w:rPr>
            </w:pPr>
            <w:r>
              <w:t>河北省衡水市饶阳县大尹村镇大迁民村38号</w:t>
            </w:r>
          </w:p>
        </w:tc>
        <w:tc>
          <w:tcPr>
            <w:tcW w:w="571" w:type="dxa"/>
            <w:vAlign w:val="center"/>
          </w:tcPr>
          <w:p>
            <w:pPr>
              <w:rPr>
                <w:rFonts w:hint="eastAsia" w:eastAsia="宋体"/>
                <w:lang w:val="en-US" w:eastAsia="zh-CN"/>
              </w:rPr>
            </w:pPr>
            <w:r>
              <w:rPr>
                <w:rFonts w:hint="eastAsia"/>
                <w:lang w:val="en-US" w:eastAsia="zh-CN"/>
              </w:rPr>
              <w:t>8</w:t>
            </w:r>
          </w:p>
        </w:tc>
        <w:tc>
          <w:tcPr>
            <w:tcW w:w="2803" w:type="dxa"/>
            <w:vAlign w:val="center"/>
          </w:tcPr>
          <w:p>
            <w:pPr>
              <w:spacing w:line="240" w:lineRule="auto"/>
              <w:rPr>
                <w:sz w:val="21"/>
                <w:szCs w:val="21"/>
              </w:rPr>
            </w:pPr>
            <w:r>
              <w:rPr>
                <w:sz w:val="21"/>
                <w:szCs w:val="21"/>
              </w:rPr>
              <w:t>Q：服装（校服）、床上用品（棉被、棉垫、床单、被罩）的销售</w:t>
            </w:r>
          </w:p>
          <w:p>
            <w:pPr>
              <w:spacing w:line="240" w:lineRule="auto"/>
              <w:rPr>
                <w:sz w:val="21"/>
                <w:szCs w:val="21"/>
              </w:rPr>
            </w:pPr>
            <w:r>
              <w:rPr>
                <w:sz w:val="21"/>
                <w:szCs w:val="21"/>
              </w:rPr>
              <w:t>E：服装（校服）、床上用品（棉被、棉垫、床单、被罩）的销售所涉及场所的相关环境管理活动</w:t>
            </w:r>
          </w:p>
          <w:p>
            <w:pPr>
              <w:rPr>
                <w:lang w:eastAsia="ja-JP"/>
              </w:rPr>
            </w:pPr>
            <w:r>
              <w:rPr>
                <w:sz w:val="21"/>
                <w:szCs w:val="21"/>
              </w:rPr>
              <w:t>O：服装（校服）、床上用品（棉被、棉垫、床单、被罩）的销售所涉及场所相关的职业健康安全管理活动</w:t>
            </w:r>
          </w:p>
        </w:tc>
        <w:tc>
          <w:tcPr>
            <w:tcW w:w="669" w:type="dxa"/>
            <w:vAlign w:val="center"/>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pPr>
              <w:rPr>
                <w:lang w:eastAsia="ja-JP"/>
              </w:rPr>
            </w:pPr>
          </w:p>
        </w:tc>
        <w:tc>
          <w:tcPr>
            <w:tcW w:w="668" w:type="dxa"/>
            <w:shd w:val="clear" w:color="auto" w:fill="FFFFFF"/>
          </w:tcPr>
          <w:p>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组长</w:t>
            </w:r>
          </w:p>
        </w:tc>
        <w:tc>
          <w:tcPr>
            <w:tcW w:w="711" w:type="dxa"/>
            <w:vAlign w:val="center"/>
          </w:tcPr>
          <w:p>
            <w:r>
              <w:t>男</w:t>
            </w:r>
          </w:p>
        </w:tc>
        <w:tc>
          <w:tcPr>
            <w:tcW w:w="3870" w:type="dxa"/>
            <w:vAlign w:val="center"/>
          </w:tcPr>
          <w:p>
            <w:r>
              <w:t>2020-N1QMS-2226478</w:t>
            </w:r>
          </w:p>
          <w:p>
            <w:r>
              <w:t>2020-N1EMS-2226478</w:t>
            </w:r>
          </w:p>
          <w:p>
            <w:r>
              <w:t>2020-N1OHSMS-2226478</w:t>
            </w:r>
          </w:p>
        </w:tc>
        <w:tc>
          <w:tcPr>
            <w:tcW w:w="2179" w:type="dxa"/>
            <w:vAlign w:val="center"/>
          </w:tcPr>
          <w:p>
            <w:r>
              <w:t>E:29.08.01,29.08.02</w:t>
            </w:r>
          </w:p>
          <w:p>
            <w:r>
              <w:t>O:29.08.01,29.08.02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喻荣秋</w:t>
            </w:r>
          </w:p>
        </w:tc>
        <w:tc>
          <w:tcPr>
            <w:tcW w:w="1089" w:type="dxa"/>
            <w:vAlign w:val="center"/>
          </w:tcPr>
          <w:p>
            <w:r>
              <w:t>组员</w:t>
            </w:r>
          </w:p>
        </w:tc>
        <w:tc>
          <w:tcPr>
            <w:tcW w:w="711" w:type="dxa"/>
            <w:vAlign w:val="center"/>
          </w:tcPr>
          <w:p>
            <w:r>
              <w:t>女</w:t>
            </w:r>
          </w:p>
        </w:tc>
        <w:tc>
          <w:tcPr>
            <w:tcW w:w="3870" w:type="dxa"/>
            <w:vAlign w:val="center"/>
          </w:tcPr>
          <w:p>
            <w:r>
              <w:t>2021-N1QMS-1274747</w:t>
            </w:r>
          </w:p>
          <w:p>
            <w:r>
              <w:t>2021-N1EMS-1274747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组员</w:t>
            </w:r>
          </w:p>
        </w:tc>
        <w:tc>
          <w:tcPr>
            <w:tcW w:w="711" w:type="dxa"/>
            <w:vAlign w:val="center"/>
          </w:tcPr>
          <w:p>
            <w:r>
              <w:t>男</w:t>
            </w:r>
          </w:p>
        </w:tc>
        <w:tc>
          <w:tcPr>
            <w:tcW w:w="3870" w:type="dxa"/>
            <w:vAlign w:val="center"/>
          </w:tcPr>
          <w:p>
            <w:r>
              <w:t>2020-N1QMS-1263375</w:t>
            </w:r>
          </w:p>
          <w:p>
            <w:r>
              <w:t>2020-N1EMS-1263375</w:t>
            </w:r>
          </w:p>
          <w:p>
            <w:r>
              <w:t>2021-N1OHSMS-1263375</w:t>
            </w:r>
          </w:p>
        </w:tc>
        <w:tc>
          <w:tcPr>
            <w:tcW w:w="2179" w:type="dxa"/>
            <w:vAlign w:val="center"/>
          </w:tcPr>
          <w:p>
            <w:r>
              <w:t>Q:29.08.01,29.08.02</w:t>
            </w:r>
          </w:p>
          <w:p>
            <w:r>
              <w:t>E:29.08.01,29.08.02</w:t>
            </w:r>
          </w:p>
          <w:p>
            <w:r>
              <w:t>O:29.08.01,29.08.02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r>
              <w:drawing>
                <wp:anchor distT="0" distB="0" distL="114300" distR="114300" simplePos="0" relativeHeight="251661312" behindDoc="0" locked="0" layoutInCell="1" allowOverlap="1">
                  <wp:simplePos x="0" y="0"/>
                  <wp:positionH relativeFrom="column">
                    <wp:posOffset>-15240</wp:posOffset>
                  </wp:positionH>
                  <wp:positionV relativeFrom="paragraph">
                    <wp:posOffset>6747510</wp:posOffset>
                  </wp:positionV>
                  <wp:extent cx="524510" cy="280670"/>
                  <wp:effectExtent l="0" t="0" r="8890" b="8890"/>
                  <wp:wrapSquare wrapText="bothSides"/>
                  <wp:docPr id="1" name="图片 2" descr="49527f178761179e49e527589a9e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9527f178761179e49e527589a9ef90"/>
                          <pic:cNvPicPr>
                            <a:picLocks noChangeAspect="1"/>
                          </pic:cNvPicPr>
                        </pic:nvPicPr>
                        <pic:blipFill>
                          <a:blip r:embed="rId6"/>
                          <a:stretch>
                            <a:fillRect/>
                          </a:stretch>
                        </pic:blipFill>
                        <pic:spPr>
                          <a:xfrm>
                            <a:off x="0" y="0"/>
                            <a:ext cx="524510" cy="280670"/>
                          </a:xfrm>
                          <a:prstGeom prst="rect">
                            <a:avLst/>
                          </a:prstGeom>
                          <a:noFill/>
                          <a:ln>
                            <a:noFill/>
                          </a:ln>
                        </pic:spPr>
                      </pic:pic>
                    </a:graphicData>
                  </a:graphic>
                </wp:anchor>
              </w:drawing>
            </w:r>
          </w:p>
        </w:tc>
        <w:tc>
          <w:tcPr>
            <w:tcW w:w="2764" w:type="dxa"/>
            <w:tcMar>
              <w:left w:w="113" w:type="dxa"/>
            </w:tcMar>
          </w:tcPr>
          <w:p>
            <w:pPr>
              <w:rPr>
                <w:rFonts w:hint="default" w:eastAsia="宋体"/>
                <w:lang w:val="en-US" w:eastAsia="zh-CN"/>
              </w:rPr>
            </w:pPr>
            <w:r>
              <w:rPr>
                <w:rFonts w:hint="eastAsia"/>
              </w:rPr>
              <w:t>日期</w:t>
            </w:r>
            <w:r>
              <w:rPr>
                <w:rFonts w:hint="eastAsia"/>
                <w:lang w:val="en-US" w:eastAsia="zh-CN"/>
              </w:rPr>
              <w:t>2022.5.5.</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pacing w:line="240" w:lineRule="auto"/>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把握市场靠质量</w:t>
            </w:r>
          </w:p>
          <w:p>
            <w:pPr>
              <w:spacing w:line="240" w:lineRule="auto"/>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客户满意靠真诚</w:t>
            </w:r>
          </w:p>
          <w:p>
            <w:pPr>
              <w:spacing w:line="240" w:lineRule="auto"/>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持续改进靠管理</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管代</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3"/>
                    <w:spacing w:line="240" w:lineRule="auto"/>
                    <w:rPr>
                      <w:rFonts w:hint="default" w:ascii="Times New Roman" w:hAnsi="Times New Roman"/>
                      <w:sz w:val="21"/>
                      <w:szCs w:val="21"/>
                      <w:lang w:val="en-US" w:eastAsia="zh-CN"/>
                    </w:rPr>
                  </w:pPr>
                  <w:r>
                    <w:rPr>
                      <w:rFonts w:hint="default" w:ascii="Times New Roman" w:hAnsi="Times New Roman"/>
                      <w:sz w:val="21"/>
                      <w:szCs w:val="21"/>
                      <w:lang w:val="en-US" w:eastAsia="zh-CN"/>
                    </w:rPr>
                    <w:t>客户对产品质量标准提高，材料要求环保材料，以及对供应周期和售后服务的期望值提升，给公司采购、销售和售后管理提出新的要求</w:t>
                  </w:r>
                </w:p>
                <w:p>
                  <w:pPr>
                    <w:shd w:val="clear" w:color="auto" w:fill="C7DAF1" w:themeFill="text2" w:themeFillTint="32"/>
                  </w:pPr>
                </w:p>
              </w:tc>
              <w:tc>
                <w:tcPr>
                  <w:tcW w:w="3965" w:type="dxa"/>
                </w:tcPr>
                <w:p>
                  <w:pPr>
                    <w:pStyle w:val="23"/>
                    <w:spacing w:line="240" w:lineRule="auto"/>
                    <w:rPr>
                      <w:rFonts w:hint="default" w:ascii="Times New Roman" w:hAnsi="Times New Roman"/>
                      <w:sz w:val="21"/>
                      <w:szCs w:val="21"/>
                      <w:lang w:val="en-US" w:eastAsia="zh-CN"/>
                    </w:rPr>
                  </w:pPr>
                  <w:r>
                    <w:rPr>
                      <w:rFonts w:hint="default" w:ascii="Times New Roman" w:hAnsi="Times New Roman"/>
                      <w:sz w:val="21"/>
                      <w:szCs w:val="21"/>
                      <w:lang w:val="en-US" w:eastAsia="zh-CN"/>
                    </w:rPr>
                    <w:t>1.加强与客户进行质量标准制定的沟通，统一双方的标准和检测方法</w:t>
                  </w:r>
                  <w:r>
                    <w:rPr>
                      <w:rFonts w:hint="eastAsia" w:ascii="Times New Roman" w:hAnsi="Times New Roman"/>
                      <w:sz w:val="21"/>
                      <w:szCs w:val="21"/>
                      <w:lang w:val="en-US" w:eastAsia="zh-CN"/>
                    </w:rPr>
                    <w:t>。</w:t>
                  </w:r>
                  <w:r>
                    <w:rPr>
                      <w:rFonts w:hint="default" w:ascii="Times New Roman" w:hAnsi="Times New Roman"/>
                      <w:sz w:val="21"/>
                      <w:szCs w:val="21"/>
                      <w:lang w:val="en-US" w:eastAsia="zh-CN"/>
                    </w:rPr>
                    <w:t>2.供销部选择合格供方，采购环保达标的产品、确保采购符合顾客要求、法律法规环保要求，对供应周期提前策划，及时处理顾客的要求和意见</w:t>
                  </w:r>
                  <w:r>
                    <w:rPr>
                      <w:rFonts w:hint="eastAsia" w:ascii="Times New Roman" w:hAnsi="Times New Roman"/>
                      <w:sz w:val="21"/>
                      <w:szCs w:val="21"/>
                      <w:lang w:val="en-US" w:eastAsia="zh-CN"/>
                    </w:rPr>
                    <w:t>。</w:t>
                  </w:r>
                </w:p>
                <w:p>
                  <w:pPr>
                    <w:shd w:val="clear" w:color="auto" w:fill="C7DAF1" w:themeFill="text2" w:themeFillTint="32"/>
                  </w:pPr>
                </w:p>
              </w:tc>
              <w:tc>
                <w:tcPr>
                  <w:tcW w:w="1717" w:type="dxa"/>
                </w:tcPr>
                <w:p>
                  <w:pPr>
                    <w:shd w:val="clear" w:color="auto" w:fill="C7DAF1" w:themeFill="text2"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highlight w:val="none"/>
              </w:rPr>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3136"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240" w:lineRule="auto"/>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1、销售产品交付顾客验收合格率100%</w:t>
                  </w:r>
                </w:p>
                <w:p>
                  <w:pPr>
                    <w:shd w:val="clear" w:color="auto" w:fill="C7DAF1" w:themeFill="text2" w:themeFillTint="32"/>
                  </w:pPr>
                </w:p>
              </w:tc>
              <w:tc>
                <w:tcPr>
                  <w:tcW w:w="3136" w:type="dxa"/>
                  <w:shd w:val="clear" w:color="auto" w:fill="auto"/>
                  <w:vAlign w:val="center"/>
                </w:tcPr>
                <w:p>
                  <w:pPr>
                    <w:shd w:val="clear" w:color="auto" w:fill="C7DAF1" w:themeFill="text2" w:themeFillTint="32"/>
                    <w:rPr>
                      <w:highlight w:val="yellow"/>
                      <w:lang w:val="en-GB"/>
                    </w:rPr>
                  </w:pPr>
                  <w:r>
                    <w:rPr>
                      <w:rFonts w:hint="eastAsia" w:ascii="宋体" w:hAnsi="宋体"/>
                      <w:sz w:val="24"/>
                    </w:rPr>
                    <w:t>合格批次/交付批次</w:t>
                  </w:r>
                </w:p>
              </w:tc>
              <w:tc>
                <w:tcPr>
                  <w:tcW w:w="1350" w:type="dxa"/>
                  <w:shd w:val="clear" w:color="auto" w:fill="auto"/>
                  <w:vAlign w:val="center"/>
                </w:tcPr>
                <w:p>
                  <w:pPr>
                    <w:shd w:val="clear" w:color="auto" w:fill="C7DAF1" w:themeFill="text2" w:themeFillTint="32"/>
                    <w:rPr>
                      <w:highlight w:val="yellow"/>
                      <w:lang w:val="en-GB"/>
                    </w:rPr>
                  </w:pPr>
                  <w:r>
                    <w:rPr>
                      <w:rFonts w:hint="eastAsia"/>
                      <w:b/>
                      <w:sz w:val="24"/>
                    </w:rPr>
                    <w:t>供销部</w:t>
                  </w:r>
                </w:p>
              </w:tc>
              <w:tc>
                <w:tcPr>
                  <w:tcW w:w="1774" w:type="dxa"/>
                  <w:shd w:val="clear" w:color="auto" w:fill="auto"/>
                  <w:vAlign w:val="center"/>
                </w:tcPr>
                <w:p>
                  <w:pPr>
                    <w:shd w:val="clear" w:color="auto" w:fill="C7DAF1" w:themeFill="text2" w:themeFillTint="32"/>
                    <w:jc w:val="center"/>
                    <w:rPr>
                      <w:rFonts w:ascii="宋体" w:hAnsi="宋体"/>
                      <w:highlight w:val="yellow"/>
                      <w:lang w:val="en-GB"/>
                    </w:rPr>
                  </w:pPr>
                  <w:r>
                    <w:rPr>
                      <w:rFonts w:hint="eastAsia"/>
                      <w:sz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240" w:lineRule="auto"/>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2、顾客满意度≥90%</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r>
                    <w:rPr>
                      <w:rFonts w:hint="eastAsia"/>
                      <w:bCs/>
                      <w:sz w:val="24"/>
                    </w:rPr>
                    <w:t>顾客满意数/接受服务满意度调查的顾客数，按公式求百分率</w:t>
                  </w:r>
                </w:p>
              </w:tc>
              <w:tc>
                <w:tcPr>
                  <w:tcW w:w="1350" w:type="dxa"/>
                  <w:shd w:val="clear" w:color="auto" w:fill="auto"/>
                  <w:vAlign w:val="center"/>
                </w:tcPr>
                <w:p>
                  <w:pPr>
                    <w:shd w:val="clear" w:color="auto" w:fill="C7DAF1" w:themeFill="text2" w:themeFillTint="32"/>
                    <w:rPr>
                      <w:rFonts w:ascii="宋体" w:hAnsi="宋体"/>
                    </w:rPr>
                  </w:pPr>
                  <w:r>
                    <w:rPr>
                      <w:rFonts w:hint="eastAsia"/>
                      <w:b/>
                      <w:sz w:val="24"/>
                    </w:rPr>
                    <w:t>供销部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sz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w:t>
            </w:r>
            <w:r>
              <w:rPr>
                <w:rFonts w:hint="eastAsia"/>
              </w:rPr>
              <w:sym w:font="Wingdings 2" w:char="00A3"/>
            </w:r>
            <w:r>
              <w:rPr>
                <w:rFonts w:hint="eastAsia"/>
              </w:rPr>
              <w:t>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highlight w:val="none"/>
              </w:rPr>
              <w:t>建筑面积</w:t>
            </w:r>
            <w:r>
              <w:rPr>
                <w:rFonts w:hint="eastAsia"/>
                <w:highlight w:val="none"/>
                <w:lang w:val="en-US" w:eastAsia="zh-CN"/>
              </w:rPr>
              <w:t>100</w:t>
            </w:r>
            <w:r>
              <w:rPr>
                <w:rFonts w:hint="eastAsia"/>
                <w:highlight w:val="none"/>
              </w:rPr>
              <w:t>平方米；</w:t>
            </w:r>
            <w:r>
              <w:rPr>
                <w:rFonts w:hint="eastAsia"/>
              </w:rPr>
              <w:t>生产车间个；库房个；实验室个；</w:t>
            </w:r>
          </w:p>
          <w:p>
            <w:pPr>
              <w:shd w:val="clear" w:color="auto" w:fill="C7DAF1" w:themeFill="text2" w:themeFillTint="32"/>
              <w:rPr>
                <w:rFonts w:hint="default" w:eastAsia="宋体"/>
                <w:u w:val="single"/>
                <w:lang w:val="en-US" w:eastAsia="zh-CN"/>
              </w:rPr>
            </w:pPr>
            <w:r>
              <w:rPr>
                <w:rFonts w:hint="eastAsia"/>
              </w:rPr>
              <w:t>主要生产设备有：</w:t>
            </w:r>
            <w:r>
              <w:rPr>
                <w:rFonts w:hint="eastAsia"/>
                <w:u w:val="single"/>
                <w:lang w:val="en-US" w:eastAsia="zh-CN"/>
              </w:rPr>
              <w:t>电脑、打印机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sym w:font="Wingdings 2" w:char="0052"/>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Times New Roman" w:hAnsi="Times New Roman" w:eastAsia="宋体" w:cs="Times New Roman"/>
                      <w:sz w:val="21"/>
                      <w:szCs w:val="21"/>
                      <w:lang w:val="en-US" w:eastAsia="zh-CN"/>
                    </w:rPr>
                    <w:t>服装（校服）、床上用品（棉被、棉垫、床单、被罩）的销售。</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销售过程</w:t>
                  </w:r>
                </w:p>
              </w:tc>
              <w:tc>
                <w:tcPr>
                  <w:tcW w:w="3265" w:type="dxa"/>
                </w:tcPr>
                <w:p>
                  <w:pPr>
                    <w:shd w:val="clear" w:color="auto" w:fill="C7DAF1" w:themeFill="text2" w:themeFillTint="32"/>
                    <w:jc w:val="left"/>
                    <w:rPr>
                      <w:rFonts w:hint="eastAsia"/>
                      <w:lang w:val="en-US" w:eastAsia="zh-CN"/>
                    </w:rPr>
                  </w:pPr>
                  <w:r>
                    <w:rPr>
                      <w:rFonts w:hint="eastAsia"/>
                      <w:lang w:val="en-US" w:eastAsia="zh-CN"/>
                    </w:rPr>
                    <w:t>设备：电脑、手机、打印机；</w:t>
                  </w:r>
                </w:p>
                <w:p>
                  <w:pPr>
                    <w:pStyle w:val="2"/>
                    <w:rPr>
                      <w:rFonts w:hint="eastAsia"/>
                      <w:lang w:val="en-US" w:eastAsia="zh-CN"/>
                    </w:rPr>
                  </w:pPr>
                  <w:r>
                    <w:rPr>
                      <w:rFonts w:hint="eastAsia"/>
                      <w:lang w:val="en-US" w:eastAsia="zh-CN"/>
                    </w:rPr>
                    <w:t>人员：经验、培训、KPI考核；</w:t>
                  </w:r>
                </w:p>
                <w:p>
                  <w:pPr>
                    <w:pStyle w:val="2"/>
                    <w:rPr>
                      <w:rFonts w:hint="default"/>
                      <w:lang w:val="en-US" w:eastAsia="zh-CN"/>
                    </w:rPr>
                  </w:pPr>
                  <w:r>
                    <w:rPr>
                      <w:rFonts w:hint="eastAsia"/>
                      <w:lang w:val="en-US" w:eastAsia="zh-CN"/>
                    </w:rPr>
                    <w:t>文件：服务规范、检查记录；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default" w:eastAsia="宋体"/>
                <w:lang w:val="en-US" w:eastAsia="zh-CN"/>
              </w:rPr>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sym w:font="Wingdings 2" w:char="00A3"/>
            </w:r>
            <w:r>
              <w:rPr>
                <w:rFonts w:hint="eastAsia"/>
              </w:rPr>
              <w:t>人员编号</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记录表格</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合同约定</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rFonts w:hint="default" w:eastAsia="宋体"/>
                <w:lang w:val="en-US" w:eastAsia="zh-CN"/>
              </w:rPr>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sym w:font="Wingdings 2" w:char="0052"/>
            </w:r>
            <w:r>
              <w:rPr>
                <w:rFonts w:hint="eastAsia"/>
              </w:rPr>
              <w:t>其他</w:t>
            </w:r>
            <w:r>
              <w:rPr>
                <w:rFonts w:hint="eastAsia"/>
                <w:lang w:val="en-US" w:eastAsia="zh-CN"/>
              </w:rPr>
              <w:t>-上游出厂合格证及客户签收</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w:t>
            </w:r>
            <w:r>
              <w:rPr>
                <w:rFonts w:hint="eastAsia"/>
                <w:highlight w:val="none"/>
              </w:rPr>
              <w:t>过年度策划于</w:t>
            </w:r>
            <w:r>
              <w:rPr>
                <w:rFonts w:hint="eastAsia"/>
                <w:highlight w:val="none"/>
                <w:lang w:val="en-US" w:eastAsia="zh-CN"/>
              </w:rPr>
              <w:t>2022</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8-9</w:t>
            </w:r>
            <w:r>
              <w:rPr>
                <w:rFonts w:hint="eastAsia"/>
                <w:highlight w:val="none"/>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12</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w:t>
            </w:r>
            <w:r>
              <w:rPr>
                <w:rFonts w:hint="eastAsia"/>
                <w:highlight w:val="none"/>
              </w:rPr>
              <w:t>织针对质量管理体系运行中的不符合采取了有效纠正和纠正措施。针对下列方面采取了纠正措施：</w:t>
            </w:r>
          </w:p>
          <w:p>
            <w:pPr>
              <w:shd w:val="clear" w:color="auto" w:fill="C7DAF1" w:themeFill="text2" w:themeFillTint="32"/>
            </w:pPr>
            <w:r>
              <w:rPr>
                <w:rFonts w:hint="eastAsia" w:ascii="Wingdings" w:hAnsi="Wingdings"/>
                <w:highlight w:val="none"/>
                <w:lang w:eastAsia="zh-CN"/>
              </w:rPr>
              <w:t>□</w:t>
            </w:r>
            <w:r>
              <w:rPr>
                <w:rFonts w:hint="eastAsia"/>
                <w:highlight w:val="none"/>
              </w:rPr>
              <w:t>不合格产品</w:t>
            </w:r>
            <w:r>
              <w:rPr>
                <w:rFonts w:hint="eastAsia"/>
              </w:rPr>
              <w:t>/服务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w:t>
                  </w:r>
                  <w:r>
                    <w:rPr>
                      <w:rFonts w:hint="eastAsia"/>
                    </w:rPr>
                    <w:sym w:font="Wingdings 2" w:char="0052"/>
                  </w:r>
                  <w:r>
                    <w:rPr>
                      <w:rFonts w:hint="eastAsia"/>
                    </w:rPr>
                    <w:t>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w:t>
            </w:r>
            <w:r>
              <w:rPr>
                <w:rFonts w:hint="eastAsia"/>
              </w:rPr>
              <w:sym w:font="Wingdings 2" w:char="0052"/>
            </w:r>
            <w:r>
              <w:rPr>
                <w:rFonts w:hint="eastAsia"/>
              </w:rPr>
              <w:t>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pacing w:line="240" w:lineRule="auto"/>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遵守法律法规；节能降耗减排</w:t>
            </w:r>
          </w:p>
          <w:p>
            <w:pPr>
              <w:spacing w:line="240" w:lineRule="auto"/>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增强环保意识；实现持续发展</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lang w:val="en-US" w:eastAsia="zh-CN"/>
                    </w:rPr>
                  </w:pPr>
                  <w:r>
                    <w:rPr>
                      <w:rFonts w:hint="eastAsia"/>
                    </w:rPr>
                    <w:t>固废排放</w:t>
                  </w:r>
                  <w:r>
                    <w:rPr>
                      <w:rFonts w:hint="eastAsia"/>
                      <w:lang w:val="en-US" w:eastAsia="zh-CN"/>
                    </w:rPr>
                    <w:t>/</w:t>
                  </w:r>
                  <w:r>
                    <w:rPr>
                      <w:rFonts w:hint="eastAsia"/>
                    </w:rPr>
                    <w:t>土壤污染</w:t>
                  </w:r>
                </w:p>
              </w:tc>
              <w:tc>
                <w:tcPr>
                  <w:tcW w:w="3965" w:type="dxa"/>
                </w:tcPr>
                <w:p>
                  <w:pPr>
                    <w:shd w:val="clear" w:color="auto" w:fill="EBF1DE" w:themeFill="accent3" w:themeFillTint="32"/>
                    <w:rPr>
                      <w:rFonts w:hint="eastAsia"/>
                    </w:rPr>
                  </w:pPr>
                  <w:r>
                    <w:rPr>
                      <w:rFonts w:hint="eastAsia"/>
                    </w:rPr>
                    <w:t>运行控制</w:t>
                  </w:r>
                  <w:r>
                    <w:rPr>
                      <w:rFonts w:hint="eastAsia"/>
                      <w:lang w:eastAsia="zh-CN"/>
                    </w:rPr>
                    <w:t>、</w:t>
                  </w:r>
                  <w:r>
                    <w:rPr>
                      <w:rFonts w:hint="eastAsia"/>
                    </w:rPr>
                    <w:t>管理方案</w:t>
                  </w:r>
                </w:p>
              </w:tc>
              <w:tc>
                <w:tcPr>
                  <w:tcW w:w="1717" w:type="dxa"/>
                </w:tcPr>
                <w:p>
                  <w:pPr>
                    <w:shd w:val="clear" w:color="auto" w:fill="EBF1DE" w:themeFill="accent3"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rPr>
                  </w:pPr>
                  <w:r>
                    <w:rPr>
                      <w:rFonts w:hint="eastAsia"/>
                      <w:lang w:val="en-US" w:eastAsia="zh-CN"/>
                    </w:rPr>
                    <w:t>潜在火灾事故的发生</w:t>
                  </w:r>
                </w:p>
              </w:tc>
              <w:tc>
                <w:tcPr>
                  <w:tcW w:w="3965" w:type="dxa"/>
                </w:tcPr>
                <w:p>
                  <w:pPr>
                    <w:shd w:val="clear" w:color="auto" w:fill="EBF1DE" w:themeFill="accent3" w:themeFillTint="32"/>
                    <w:rPr>
                      <w:rFonts w:hint="eastAsia"/>
                    </w:rPr>
                  </w:pPr>
                  <w:r>
                    <w:rPr>
                      <w:rFonts w:hint="eastAsia"/>
                    </w:rPr>
                    <w:t>运行控制</w:t>
                  </w:r>
                  <w:r>
                    <w:rPr>
                      <w:rFonts w:hint="eastAsia"/>
                      <w:lang w:eastAsia="zh-CN"/>
                    </w:rPr>
                    <w:t>、</w:t>
                  </w:r>
                  <w:r>
                    <w:rPr>
                      <w:rFonts w:hint="eastAsia"/>
                    </w:rPr>
                    <w:t>管理方案</w:t>
                  </w:r>
                  <w:r>
                    <w:rPr>
                      <w:rFonts w:hint="eastAsia"/>
                      <w:lang w:eastAsia="zh-CN"/>
                    </w:rPr>
                    <w:t>、</w:t>
                  </w:r>
                  <w:r>
                    <w:rPr>
                      <w:rFonts w:hint="eastAsia"/>
                    </w:rPr>
                    <w:t>应急预案</w:t>
                  </w:r>
                </w:p>
                <w:p>
                  <w:pPr>
                    <w:shd w:val="clear" w:color="auto" w:fill="EBF1DE" w:themeFill="accent3" w:themeFillTint="32"/>
                    <w:rPr>
                      <w:rFonts w:hint="eastAsia"/>
                      <w:lang w:eastAsia="zh-CN"/>
                    </w:rPr>
                  </w:pPr>
                </w:p>
              </w:tc>
              <w:tc>
                <w:tcPr>
                  <w:tcW w:w="1717" w:type="dxa"/>
                </w:tcPr>
                <w:p>
                  <w:pPr>
                    <w:shd w:val="clear" w:color="auto" w:fill="EBF1DE" w:themeFill="accent3" w:themeFillTint="32"/>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A3"/>
            </w:r>
            <w:r>
              <w:rPr>
                <w:rFonts w:hint="eastAsia"/>
              </w:rPr>
              <w:t>能源消耗</w:t>
            </w:r>
            <w:r>
              <w:rPr>
                <w:rFonts w:hint="eastAsia"/>
              </w:rPr>
              <w:sym w:font="Wingdings 2" w:char="00A3"/>
            </w:r>
            <w:r>
              <w:rPr>
                <w:rFonts w:hint="eastAsia"/>
              </w:rPr>
              <w:t>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bCs/>
                      <w:sz w:val="24"/>
                      <w:lang w:val="en-US" w:eastAsia="zh-CN"/>
                    </w:rPr>
                    <w:t>1、</w:t>
                  </w:r>
                  <w:r>
                    <w:rPr>
                      <w:rFonts w:hint="eastAsia"/>
                      <w:bCs/>
                      <w:sz w:val="24"/>
                    </w:rPr>
                    <w:t>固体废弃物分类处理率达100%</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bCs/>
                      <w:sz w:val="24"/>
                      <w:lang w:val="en-US" w:eastAsia="zh-CN"/>
                    </w:rPr>
                    <w:t>运行控制、管理方案</w:t>
                  </w:r>
                </w:p>
              </w:tc>
              <w:tc>
                <w:tcPr>
                  <w:tcW w:w="1350" w:type="dxa"/>
                  <w:shd w:val="clear" w:color="auto" w:fill="auto"/>
                  <w:vAlign w:val="center"/>
                </w:tcPr>
                <w:p>
                  <w:pPr>
                    <w:shd w:val="clear" w:color="auto" w:fill="EBF1DE" w:themeFill="accent3" w:themeFillTint="32"/>
                    <w:rPr>
                      <w:lang w:val="en-GB"/>
                    </w:rPr>
                  </w:pPr>
                  <w:r>
                    <w:rPr>
                      <w:rFonts w:hint="eastAsia"/>
                      <w:b/>
                      <w:sz w:val="24"/>
                    </w:rPr>
                    <w:t>办公室</w:t>
                  </w:r>
                </w:p>
              </w:tc>
              <w:tc>
                <w:tcPr>
                  <w:tcW w:w="1774" w:type="dxa"/>
                  <w:shd w:val="clear" w:color="auto" w:fill="auto"/>
                  <w:vAlign w:val="center"/>
                </w:tcPr>
                <w:p>
                  <w:pPr>
                    <w:shd w:val="clear" w:color="auto" w:fill="EBF1DE" w:themeFill="accent3" w:themeFillTint="32"/>
                    <w:jc w:val="center"/>
                    <w:rPr>
                      <w:rFonts w:ascii="宋体" w:hAnsi="宋体"/>
                      <w:lang w:val="en-GB"/>
                    </w:rPr>
                  </w:pPr>
                  <w:r>
                    <w:rPr>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bCs/>
                      <w:sz w:val="24"/>
                    </w:rPr>
                    <w:t>杜绝</w:t>
                  </w:r>
                  <w:r>
                    <w:rPr>
                      <w:rFonts w:hint="eastAsia"/>
                      <w:bCs/>
                      <w:sz w:val="24"/>
                      <w:lang w:val="en-US" w:eastAsia="zh-CN"/>
                    </w:rPr>
                    <w:t>火灾触电</w:t>
                  </w:r>
                  <w:r>
                    <w:rPr>
                      <w:bCs/>
                      <w:sz w:val="24"/>
                    </w:rPr>
                    <w:t>事故</w:t>
                  </w:r>
                  <w:r>
                    <w:rPr>
                      <w:rFonts w:hint="eastAsia"/>
                      <w:bCs/>
                      <w:sz w:val="24"/>
                    </w:rPr>
                    <w:t>；</w:t>
                  </w:r>
                </w:p>
              </w:tc>
              <w:tc>
                <w:tcPr>
                  <w:tcW w:w="3136" w:type="dxa"/>
                  <w:shd w:val="clear" w:color="auto" w:fill="auto"/>
                  <w:vAlign w:val="center"/>
                </w:tcPr>
                <w:p>
                  <w:pPr>
                    <w:shd w:val="clear" w:color="auto" w:fill="EBF1DE" w:themeFill="accent3" w:themeFillTint="32"/>
                    <w:rPr>
                      <w:rFonts w:hint="default" w:ascii="宋体" w:hAnsi="宋体"/>
                      <w:lang w:val="en-US"/>
                    </w:rPr>
                  </w:pPr>
                  <w:r>
                    <w:rPr>
                      <w:rFonts w:hint="eastAsia"/>
                      <w:bCs/>
                      <w:sz w:val="24"/>
                      <w:lang w:val="en-US" w:eastAsia="zh-CN"/>
                    </w:rPr>
                    <w:t>运行控制、管理方案、应急预案及演练</w:t>
                  </w:r>
                </w:p>
              </w:tc>
              <w:tc>
                <w:tcPr>
                  <w:tcW w:w="1350" w:type="dxa"/>
                  <w:shd w:val="clear" w:color="auto" w:fill="auto"/>
                  <w:vAlign w:val="center"/>
                </w:tcPr>
                <w:p>
                  <w:pPr>
                    <w:shd w:val="clear" w:color="auto" w:fill="EBF1DE" w:themeFill="accent3" w:themeFillTint="32"/>
                    <w:rPr>
                      <w:rFonts w:ascii="宋体" w:hAnsi="宋体"/>
                    </w:rPr>
                  </w:pPr>
                  <w:r>
                    <w:rPr>
                      <w:rFonts w:hint="eastAsia"/>
                      <w:b/>
                      <w:sz w:val="24"/>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highlight w:val="none"/>
              </w:rPr>
              <w:t>建筑面积</w:t>
            </w:r>
            <w:r>
              <w:rPr>
                <w:rFonts w:hint="eastAsia"/>
                <w:highlight w:val="none"/>
                <w:lang w:val="en-US" w:eastAsia="zh-CN"/>
              </w:rPr>
              <w:t>100</w:t>
            </w:r>
            <w:r>
              <w:rPr>
                <w:rFonts w:hint="eastAsia"/>
                <w:highlight w:val="none"/>
              </w:rPr>
              <w:t>平方米；</w:t>
            </w:r>
            <w:r>
              <w:rPr>
                <w:rFonts w:hint="eastAsia"/>
              </w:rPr>
              <w:t>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垃圾篓/桶</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成品采购</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运行控制</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lang w:val="en-US" w:eastAsia="zh-CN"/>
                    </w:rPr>
                    <w:t>运行控制</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lang w:val="en-US" w:eastAsia="zh-CN"/>
                    </w:rPr>
                    <w:t>运行控制</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lang w:val="en-US"/>
                    </w:rPr>
                  </w:pPr>
                  <w:r>
                    <w:rPr>
                      <w:rFonts w:hint="eastAsia"/>
                      <w:lang w:val="en-US" w:eastAsia="zh-CN"/>
                    </w:rPr>
                    <w:t>运行控制、应急预案及演练</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11</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8-9</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12</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A3"/>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w:t>
                  </w:r>
                  <w:r>
                    <w:rPr>
                      <w:rFonts w:hint="eastAsia"/>
                    </w:rPr>
                    <w:sym w:font="Wingdings 2" w:char="0052"/>
                  </w:r>
                  <w:r>
                    <w:rPr>
                      <w:rFonts w:hint="eastAsia"/>
                    </w:rPr>
                    <w:t>绩效□工艺□设备</w:t>
                  </w:r>
                  <w:r>
                    <w:rPr>
                      <w:rFonts w:hint="eastAsia"/>
                    </w:rPr>
                    <w:sym w:font="Wingdings 2" w:char="0052"/>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w:t>
            </w:r>
            <w:r>
              <w:rPr>
                <w:rFonts w:hint="eastAsia"/>
              </w:rPr>
              <w:sym w:font="Wingdings 2" w:char="0052"/>
            </w:r>
            <w:r>
              <w:rPr>
                <w:rFonts w:hint="eastAsia"/>
              </w:rPr>
              <w:t>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w:t>
            </w:r>
            <w:r>
              <w:rPr>
                <w:rFonts w:hint="eastAsia"/>
              </w:rPr>
              <w:sym w:font="Wingdings 2" w:char="0052"/>
            </w:r>
            <w:r>
              <w:rPr>
                <w:rFonts w:hint="eastAsia"/>
              </w:rPr>
              <w:t>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员工代表</w:t>
            </w:r>
          </w:p>
          <w:p>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Times New Roman" w:hAnsi="Times New Roman"/>
                <w:sz w:val="21"/>
                <w:szCs w:val="21"/>
                <w:lang w:val="en-US" w:eastAsia="zh-CN"/>
              </w:rPr>
              <w:t>李俊忙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ascii="宋体" w:hAnsi="宋体"/>
                      <w:szCs w:val="21"/>
                      <w:lang w:val="en-US" w:eastAsia="zh-CN"/>
                    </w:rPr>
                    <w:t>办公区</w:t>
                  </w:r>
                  <w:r>
                    <w:rPr>
                      <w:rFonts w:hint="eastAsia" w:ascii="宋体" w:hAnsi="宋体"/>
                      <w:szCs w:val="21"/>
                    </w:rPr>
                    <w:t>吸烟、电器漏电</w:t>
                  </w:r>
                  <w:r>
                    <w:rPr>
                      <w:rFonts w:hint="eastAsia" w:ascii="宋体" w:hAnsi="宋体"/>
                      <w:szCs w:val="21"/>
                      <w:lang w:val="en-US" w:eastAsia="zh-CN"/>
                    </w:rPr>
                    <w:t>/</w:t>
                  </w:r>
                  <w:r>
                    <w:rPr>
                      <w:rFonts w:hint="eastAsia" w:ascii="宋体" w:hAnsi="宋体"/>
                      <w:szCs w:val="21"/>
                    </w:rPr>
                    <w:t>引发火灾</w:t>
                  </w:r>
                </w:p>
              </w:tc>
              <w:tc>
                <w:tcPr>
                  <w:tcW w:w="3965" w:type="dxa"/>
                </w:tcPr>
                <w:p>
                  <w:r>
                    <w:rPr>
                      <w:rFonts w:hint="eastAsia" w:ascii="宋体" w:hAnsi="宋体"/>
                      <w:szCs w:val="21"/>
                      <w:lang w:eastAsia="zh-CN"/>
                    </w:rPr>
                    <w:t>运行控制、管理方案、应急预案</w:t>
                  </w:r>
                </w:p>
              </w:tc>
              <w:tc>
                <w:tcPr>
                  <w:tcW w:w="1717" w:type="dxa"/>
                </w:tcPr>
                <w:p>
                  <w:pPr>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ascii="宋体" w:hAnsi="宋体"/>
                      <w:szCs w:val="21"/>
                    </w:rPr>
                    <w:t>线路老化、不按章操作电器设备</w:t>
                  </w:r>
                  <w:r>
                    <w:rPr>
                      <w:rFonts w:hint="eastAsia" w:ascii="宋体" w:hAnsi="宋体"/>
                      <w:szCs w:val="21"/>
                      <w:lang w:val="en-US" w:eastAsia="zh-CN"/>
                    </w:rPr>
                    <w:t>/</w:t>
                  </w:r>
                  <w:r>
                    <w:rPr>
                      <w:rFonts w:hint="eastAsia" w:ascii="宋体" w:hAnsi="宋体"/>
                      <w:szCs w:val="21"/>
                    </w:rPr>
                    <w:t>触电</w:t>
                  </w:r>
                </w:p>
              </w:tc>
              <w:tc>
                <w:tcPr>
                  <w:tcW w:w="3965" w:type="dxa"/>
                </w:tcPr>
                <w:p>
                  <w:r>
                    <w:rPr>
                      <w:rFonts w:hint="eastAsia" w:ascii="宋体" w:hAnsi="宋体"/>
                      <w:szCs w:val="21"/>
                      <w:lang w:eastAsia="zh-CN"/>
                    </w:rPr>
                    <w:t>运行控制、管理方案、应急预案</w:t>
                  </w:r>
                </w:p>
              </w:tc>
              <w:tc>
                <w:tcPr>
                  <w:tcW w:w="1717" w:type="dxa"/>
                </w:tcPr>
                <w:p>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宋体" w:hAnsi="宋体"/>
                      <w:szCs w:val="21"/>
                      <w:lang w:val="en-US" w:eastAsia="zh-CN"/>
                    </w:rPr>
                  </w:pPr>
                  <w:r>
                    <w:rPr>
                      <w:rFonts w:hint="eastAsia" w:ascii="宋体" w:hAnsi="宋体"/>
                      <w:szCs w:val="21"/>
                      <w:lang w:val="en-US" w:eastAsia="zh-CN"/>
                    </w:rPr>
                    <w:t>办公及外出交叉感染</w:t>
                  </w:r>
                </w:p>
                <w:p>
                  <w:pPr>
                    <w:rPr>
                      <w:rFonts w:hint="default"/>
                      <w:lang w:val="en-US"/>
                    </w:rPr>
                  </w:pPr>
                  <w:r>
                    <w:rPr>
                      <w:rFonts w:hint="eastAsia" w:ascii="宋体" w:hAnsi="宋体"/>
                      <w:szCs w:val="21"/>
                      <w:lang w:val="en-US" w:eastAsia="zh-CN"/>
                    </w:rPr>
                    <w:t>防护措施不到位、防疫物资配备不足/新冠病毒感染</w:t>
                  </w:r>
                </w:p>
              </w:tc>
              <w:tc>
                <w:tcPr>
                  <w:tcW w:w="3965" w:type="dxa"/>
                </w:tcPr>
                <w:p>
                  <w:r>
                    <w:rPr>
                      <w:rFonts w:hint="eastAsia" w:ascii="宋体" w:hAnsi="宋体"/>
                      <w:szCs w:val="21"/>
                      <w:lang w:eastAsia="zh-CN"/>
                    </w:rPr>
                    <w:t>运行控制、应急预案</w:t>
                  </w:r>
                </w:p>
              </w:tc>
              <w:tc>
                <w:tcPr>
                  <w:tcW w:w="1717" w:type="dxa"/>
                </w:tcPr>
                <w:p>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b/>
                      <w:bCs/>
                    </w:rPr>
                  </w:pPr>
                  <w:r>
                    <w:rPr>
                      <w:bCs/>
                      <w:sz w:val="24"/>
                    </w:rPr>
                    <w:t>杜绝</w:t>
                  </w:r>
                  <w:r>
                    <w:rPr>
                      <w:rFonts w:hint="eastAsia"/>
                      <w:bCs/>
                      <w:sz w:val="24"/>
                      <w:lang w:val="en-US" w:eastAsia="zh-CN"/>
                    </w:rPr>
                    <w:t>火灾触电</w:t>
                  </w:r>
                  <w:r>
                    <w:rPr>
                      <w:bCs/>
                      <w:sz w:val="24"/>
                    </w:rPr>
                    <w:t>事故</w:t>
                  </w:r>
                  <w:r>
                    <w:rPr>
                      <w:rFonts w:hint="eastAsia"/>
                      <w:bCs/>
                      <w:sz w:val="24"/>
                    </w:rPr>
                    <w:t>；</w:t>
                  </w:r>
                </w:p>
              </w:tc>
              <w:tc>
                <w:tcPr>
                  <w:tcW w:w="3136" w:type="dxa"/>
                  <w:shd w:val="clear" w:color="auto" w:fill="auto"/>
                  <w:vAlign w:val="center"/>
                </w:tcPr>
                <w:p>
                  <w:pPr>
                    <w:rPr>
                      <w:lang w:val="en-GB"/>
                    </w:rPr>
                  </w:pPr>
                  <w:r>
                    <w:rPr>
                      <w:rFonts w:hint="eastAsia" w:ascii="宋体" w:hAnsi="宋体"/>
                      <w:szCs w:val="21"/>
                      <w:lang w:eastAsia="zh-CN"/>
                    </w:rPr>
                    <w:t>运行控制、管理方案、应急预案</w:t>
                  </w:r>
                </w:p>
              </w:tc>
              <w:tc>
                <w:tcPr>
                  <w:tcW w:w="1350" w:type="dxa"/>
                  <w:shd w:val="clear" w:color="auto" w:fill="auto"/>
                  <w:vAlign w:val="center"/>
                </w:tcPr>
                <w:p>
                  <w:pPr>
                    <w:rPr>
                      <w:rFonts w:hint="eastAsia" w:eastAsia="宋体"/>
                      <w:lang w:val="en-US" w:eastAsia="zh-CN"/>
                    </w:rPr>
                  </w:pPr>
                  <w:r>
                    <w:rPr>
                      <w:rFonts w:hint="eastAsia"/>
                      <w:lang w:val="en-US" w:eastAsia="zh-CN"/>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highlight w:val="none"/>
              </w:rPr>
              <w:t>建筑面积</w:t>
            </w:r>
            <w:r>
              <w:rPr>
                <w:rFonts w:hint="eastAsia"/>
                <w:highlight w:val="none"/>
                <w:lang w:val="en-US" w:eastAsia="zh-CN"/>
              </w:rPr>
              <w:t>100</w:t>
            </w:r>
            <w:bookmarkStart w:id="34" w:name="_GoBack"/>
            <w:bookmarkEnd w:id="34"/>
            <w:r>
              <w:rPr>
                <w:rFonts w:hint="eastAsia"/>
                <w:highlight w:val="none"/>
              </w:rPr>
              <w:t>平方米；生</w:t>
            </w:r>
            <w:r>
              <w:rPr>
                <w:rFonts w:hint="eastAsia"/>
              </w:rPr>
              <w:t>产车间个；库房个；实验室个；</w:t>
            </w:r>
          </w:p>
          <w:p>
            <w:pPr>
              <w:rPr>
                <w:u w:val="single"/>
              </w:rPr>
            </w:pPr>
            <w:r>
              <w:rPr>
                <w:rFonts w:hint="eastAsia"/>
              </w:rPr>
              <w:t>主要生产设备有：</w:t>
            </w:r>
            <w:r>
              <w:rPr>
                <w:rFonts w:hint="eastAsia"/>
                <w:u w:val="single"/>
              </w:rPr>
              <w:t>（列举2~4种）</w:t>
            </w:r>
          </w:p>
          <w:p>
            <w:pPr>
              <w:rPr>
                <w:rFonts w:hint="eastAsia" w:eastAsia="宋体"/>
                <w:lang w:val="en-US" w:eastAsia="zh-CN"/>
              </w:rPr>
            </w:pPr>
            <w:r>
              <w:rPr>
                <w:rFonts w:hint="eastAsia"/>
              </w:rPr>
              <w:t>主要安全装置有：</w:t>
            </w:r>
            <w:r>
              <w:rPr>
                <w:rFonts w:hint="eastAsia"/>
                <w:lang w:val="en-US" w:eastAsia="zh-CN"/>
              </w:rPr>
              <w:t>灭火器</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A3"/>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sym w:font="Wingdings 2" w:char="0052"/>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sym w:font="Wingdings 2" w:char="00A3"/>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成品</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运行控制、应急预案及演练</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11</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8-9</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12</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M3NDJhNGRkNmZiZjA2OTg3ZjZiMDhkODZkNmNlMjcifQ=="/>
  </w:docVars>
  <w:rsids>
    <w:rsidRoot w:val="00000000"/>
    <w:rsid w:val="01AE55BA"/>
    <w:rsid w:val="01D63646"/>
    <w:rsid w:val="04620439"/>
    <w:rsid w:val="04681111"/>
    <w:rsid w:val="078F32A6"/>
    <w:rsid w:val="0D323EF8"/>
    <w:rsid w:val="0DEE0F90"/>
    <w:rsid w:val="0E3357F3"/>
    <w:rsid w:val="0F380715"/>
    <w:rsid w:val="0F9F3B61"/>
    <w:rsid w:val="0FAA3E38"/>
    <w:rsid w:val="118E6183"/>
    <w:rsid w:val="11A05BE9"/>
    <w:rsid w:val="134B26A1"/>
    <w:rsid w:val="13DC44D0"/>
    <w:rsid w:val="16DB0C82"/>
    <w:rsid w:val="178F3D41"/>
    <w:rsid w:val="17FD24FB"/>
    <w:rsid w:val="193261DC"/>
    <w:rsid w:val="198F342D"/>
    <w:rsid w:val="1A6934D9"/>
    <w:rsid w:val="1A783191"/>
    <w:rsid w:val="1BA62EAA"/>
    <w:rsid w:val="1C063FDE"/>
    <w:rsid w:val="1CBA0843"/>
    <w:rsid w:val="1EC475AC"/>
    <w:rsid w:val="1F433D04"/>
    <w:rsid w:val="244C0037"/>
    <w:rsid w:val="252E015C"/>
    <w:rsid w:val="2559725F"/>
    <w:rsid w:val="256F30FD"/>
    <w:rsid w:val="265979B6"/>
    <w:rsid w:val="26E21545"/>
    <w:rsid w:val="28706E2D"/>
    <w:rsid w:val="294E2E46"/>
    <w:rsid w:val="29F00453"/>
    <w:rsid w:val="2D733442"/>
    <w:rsid w:val="2EF67B34"/>
    <w:rsid w:val="30351BD8"/>
    <w:rsid w:val="30507FBA"/>
    <w:rsid w:val="309C7F42"/>
    <w:rsid w:val="30A71CA7"/>
    <w:rsid w:val="31532D34"/>
    <w:rsid w:val="31840EBA"/>
    <w:rsid w:val="31975317"/>
    <w:rsid w:val="32700042"/>
    <w:rsid w:val="32FC43B4"/>
    <w:rsid w:val="34863828"/>
    <w:rsid w:val="379453B8"/>
    <w:rsid w:val="3A151570"/>
    <w:rsid w:val="3DFF08E6"/>
    <w:rsid w:val="3ECD21E7"/>
    <w:rsid w:val="3EE06F01"/>
    <w:rsid w:val="3F79013C"/>
    <w:rsid w:val="3FA32A73"/>
    <w:rsid w:val="44C26352"/>
    <w:rsid w:val="453261A0"/>
    <w:rsid w:val="454467F5"/>
    <w:rsid w:val="46F12C0D"/>
    <w:rsid w:val="4796422E"/>
    <w:rsid w:val="487D1C76"/>
    <w:rsid w:val="48B5284B"/>
    <w:rsid w:val="49575B8C"/>
    <w:rsid w:val="496D5598"/>
    <w:rsid w:val="4D8471A7"/>
    <w:rsid w:val="4DFC67D6"/>
    <w:rsid w:val="4F160785"/>
    <w:rsid w:val="4FC43B7F"/>
    <w:rsid w:val="4FE2132C"/>
    <w:rsid w:val="50EA7200"/>
    <w:rsid w:val="51B56DF8"/>
    <w:rsid w:val="51B76328"/>
    <w:rsid w:val="537611EE"/>
    <w:rsid w:val="55442143"/>
    <w:rsid w:val="55E93AE3"/>
    <w:rsid w:val="565D4368"/>
    <w:rsid w:val="598D0C2A"/>
    <w:rsid w:val="5C4230BD"/>
    <w:rsid w:val="5E310869"/>
    <w:rsid w:val="6062644F"/>
    <w:rsid w:val="61DA09EB"/>
    <w:rsid w:val="64770BBB"/>
    <w:rsid w:val="647F5B4B"/>
    <w:rsid w:val="66AF2BDE"/>
    <w:rsid w:val="680D18B3"/>
    <w:rsid w:val="6A530AD8"/>
    <w:rsid w:val="6DA8604A"/>
    <w:rsid w:val="6E251EB9"/>
    <w:rsid w:val="6F1F709B"/>
    <w:rsid w:val="71150E6F"/>
    <w:rsid w:val="73176625"/>
    <w:rsid w:val="74702039"/>
    <w:rsid w:val="75F54172"/>
    <w:rsid w:val="76CF5F86"/>
    <w:rsid w:val="794F07DE"/>
    <w:rsid w:val="79F205E5"/>
    <w:rsid w:val="7BE95A22"/>
    <w:rsid w:val="7E0D0861"/>
    <w:rsid w:val="7F3D79D8"/>
    <w:rsid w:val="7F670E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next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character" w:customStyle="1" w:styleId="12">
    <w:name w:val="页眉 Char"/>
    <w:qFormat/>
    <w:uiPriority w:val="0"/>
    <w:rPr>
      <w:kern w:val="2"/>
      <w:sz w:val="18"/>
      <w:szCs w:val="18"/>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0"/>
    <w:link w:val="5"/>
    <w:qFormat/>
    <w:uiPriority w:val="99"/>
    <w:rPr>
      <w:rFonts w:ascii="Times New Roman" w:hAnsi="Times New Roman" w:eastAsia="宋体" w:cs="Times New Roman"/>
      <w:sz w:val="18"/>
      <w:szCs w:val="18"/>
    </w:rPr>
  </w:style>
  <w:style w:type="character" w:customStyle="1" w:styleId="16">
    <w:name w:val="页脚 Char"/>
    <w:basedOn w:val="10"/>
    <w:link w:val="4"/>
    <w:qFormat/>
    <w:uiPriority w:val="99"/>
    <w:rPr>
      <w:rFonts w:ascii="Times New Roman" w:hAnsi="Times New Roman" w:eastAsia="宋体" w:cs="Times New Roman"/>
      <w:sz w:val="18"/>
      <w:szCs w:val="18"/>
    </w:rPr>
  </w:style>
  <w:style w:type="character" w:customStyle="1" w:styleId="17">
    <w:name w:val="批注框文本 Char"/>
    <w:basedOn w:val="10"/>
    <w:link w:val="3"/>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匡吉文</cp:lastModifiedBy>
  <cp:lastPrinted>2019-05-13T03:19:00Z</cp:lastPrinted>
  <dcterms:modified xsi:type="dcterms:W3CDTF">2022-05-08T15:39:28Z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