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赣州市南康区明龙家具有限公司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23.01.01;23.01.02;23.01.04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高燕华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23.01.01;23.01.02;23.01.04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李双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/>
                <w:spacing w:val="-1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购入原木及板材→开料→订压→锣机→排钻→封边→批灰→打磨→贴纸（木皮）→底漆→油磨→面漆→</w:t>
            </w:r>
            <w:r>
              <w:rPr>
                <w:rFonts w:hint="eastAsia"/>
                <w:sz w:val="21"/>
                <w:szCs w:val="21"/>
                <w:lang w:eastAsia="zh-CN"/>
              </w:rPr>
              <w:t>组装</w:t>
            </w:r>
            <w:r>
              <w:rPr>
                <w:rFonts w:hint="eastAsia"/>
                <w:sz w:val="21"/>
                <w:szCs w:val="21"/>
              </w:rPr>
              <w:t>→成品打包验收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关键和需要确认的过程为油漆过程，执行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漆作业指导书》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MLJJ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/SC41—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GB/T3324-2017木家具通用技术条件、客户的技术参数要求、图样，《生产作业指导书》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外形尺寸、翘曲度、平整度、邻边垂直度、位差度、分缝隙、抽屉摆动度、底脚平稳性、虫蛀材、木工要求、漆膜外观、安全性要求等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生产过程相关技术知识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29210</wp:posOffset>
                  </wp:positionV>
                  <wp:extent cx="771525" cy="598805"/>
                  <wp:effectExtent l="0" t="0" r="9525" b="10795"/>
                  <wp:wrapNone/>
                  <wp:docPr id="1" name="图片 1" descr="aa64b78b648aeb1b35e6e7bae6d8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a64b78b648aeb1b35e6e7bae6d886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97790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6A6110C"/>
    <w:rsid w:val="2BF93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720</Words>
  <Characters>758</Characters>
  <Lines>2</Lines>
  <Paragraphs>1</Paragraphs>
  <TotalTime>2</TotalTime>
  <ScaleCrop>false</ScaleCrop>
  <LinksUpToDate>false</LinksUpToDate>
  <CharactersWithSpaces>762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2022-04-29T09:21:54Z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