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924"/>
        <w:gridCol w:w="2060"/>
        <w:gridCol w:w="208"/>
        <w:gridCol w:w="1134"/>
        <w:gridCol w:w="156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7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重庆斯卡宜餐饮管理有限公司</w:t>
            </w:r>
            <w:bookmarkEnd w:id="2"/>
          </w:p>
        </w:tc>
        <w:tc>
          <w:tcPr>
            <w:tcW w:w="1134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565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Q：30.05.00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谭秀英</w:t>
            </w:r>
          </w:p>
        </w:tc>
        <w:tc>
          <w:tcPr>
            <w:tcW w:w="92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Q：餐饮管理服务(热食类食品制售)</w:t>
            </w: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5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张心</w:t>
            </w:r>
          </w:p>
        </w:tc>
        <w:tc>
          <w:tcPr>
            <w:tcW w:w="92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6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400" w:lineRule="exac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餐饮管理服务流程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/>
                <w:bCs/>
                <w:sz w:val="21"/>
                <w:szCs w:val="21"/>
              </w:rPr>
              <w:t>采购——进料检验——入库、储存——原材料清洗——食材切配——烹饪——留样——开餐、菜品分配——厨房卫生管理——餐具消毒——厨余垃圾处理。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关键过程：食材采购；烹饪过程。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Cs/>
                <w:sz w:val="21"/>
                <w:szCs w:val="21"/>
              </w:rPr>
              <w:t>特殊过程：无。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食材采购过程、烹饪服务过程风险：原材料质量不过关；加工、储存不当造成食物中毒风险。</w:t>
            </w:r>
          </w:p>
          <w:p>
            <w:pPr>
              <w:spacing w:line="360" w:lineRule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食材采购过程、烹饪服务过程风险控制；制定管理制度、程序文件、作业规范进行过程质量检验及监控。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主要控制参数：原材料质量、卫生等。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食品企业通用卫生规范</w:t>
            </w:r>
            <w:r>
              <w:rPr>
                <w:rFonts w:hint="eastAsia" w:ascii="宋体" w:hAnsi="宋体"/>
                <w:sz w:val="21"/>
                <w:szCs w:val="21"/>
              </w:rPr>
              <w:t>》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GB14881-2013、《食品安全管理体系 餐饮业要求》GB/T 27306-2008、《餐饮企业经营规范》SB/T 10426-2007、《餐饮服务突发事件应急处置规范》SB/T 11047-2013、《餐饮烹炸操作规范》SB/T 11168-2016、《合同法》、《食品安全法》、《食品卫生法》、《餐饮企业食品卫生管理条例》等</w:t>
            </w:r>
            <w:r>
              <w:rPr>
                <w:rFonts w:hint="eastAsia" w:ascii="宋体" w:hAnsi="宋体" w:cs="Arial"/>
                <w:color w:val="000000"/>
                <w:sz w:val="21"/>
                <w:szCs w:val="21"/>
                <w:shd w:val="clear" w:color="auto" w:fill="FFFFFF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检验和试验项目及要求：卫生质量、味道等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无型式试验要求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2022年04月27日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326390</wp:posOffset>
                  </wp:positionH>
                  <wp:positionV relativeFrom="paragraph">
                    <wp:posOffset>152400</wp:posOffset>
                  </wp:positionV>
                  <wp:extent cx="812800" cy="400050"/>
                  <wp:effectExtent l="0" t="0" r="10160" b="11430"/>
                  <wp:wrapNone/>
                  <wp:docPr id="21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2022年04月27日</w:t>
            </w:r>
          </w:p>
        </w:tc>
      </w:tr>
    </w:tbl>
    <w:p>
      <w:pPr>
        <w:rPr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bookmarkStart w:id="3" w:name="_GoBack"/>
      <w:bookmarkEnd w:id="3"/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3073" o:spid="_x0000_s3073" o:spt="202" type="#_x0000_t202" style="position:absolute;left:0pt;margin-left:379.65pt;margin-top:2.8pt;height:20.2pt;width:111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A86DEC"/>
    <w:rsid w:val="00235CB8"/>
    <w:rsid w:val="00565590"/>
    <w:rsid w:val="00A86DEC"/>
    <w:rsid w:val="4A7F40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105</Words>
  <Characters>604</Characters>
  <Lines>5</Lines>
  <Paragraphs>1</Paragraphs>
  <TotalTime>0</TotalTime>
  <ScaleCrop>false</ScaleCrop>
  <LinksUpToDate>false</LinksUpToDate>
  <CharactersWithSpaces>708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2022-04-29T07:15:01Z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2052-11.1.0.11636</vt:lpwstr>
  </property>
</Properties>
</file>