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重庆斯卡宜餐饮管理有限公司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重庆市渝北区龙溪街道松牌路141号恒大御都会商业楼幢1-14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3" w:name="_GoBack"/>
            <w:r>
              <w:rPr>
                <w:rFonts w:asciiTheme="minorEastAsia" w:hAnsiTheme="minorEastAsia" w:eastAsiaTheme="minorEastAsia"/>
                <w:sz w:val="20"/>
              </w:rPr>
              <w:t>重庆市渝北区黄山大道中段64号下沉式广场负一层</w:t>
            </w:r>
            <w:bookmarkEnd w:id="2"/>
            <w:bookmarkEnd w:id="3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邓嘉陵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13518208188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sz w:val="21"/>
                <w:szCs w:val="21"/>
              </w:rPr>
              <w:t>官仕平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0394-2022-QEO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Q：餐饮管理服务(热食类食品制售)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E：餐饮管理服务(热食类食品制售)所涉及场所的相关环境管理活动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O：餐饮管理服务(热食类食品制售)所涉及场所的相关职业健康安全管理活动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Q：30.05.00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E：30.05.00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O：30.05.00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2022年04月28日 上午至2022年04月29日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2.0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E:30.05.00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O:30.05.00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谭秀英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ISC-JSZJ-528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ISC-JSZJ-528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ISC-JSZJ-528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重庆食味香餐饮管理有限公司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Q:30.05.00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E:30.05.00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O:30.05.00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18696664876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65405</wp:posOffset>
                  </wp:positionV>
                  <wp:extent cx="812800" cy="400050"/>
                  <wp:effectExtent l="0" t="0" r="10160" b="11430"/>
                  <wp:wrapNone/>
                  <wp:docPr id="2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2022年4月25日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2022年4月25日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515"/>
        <w:gridCol w:w="1116"/>
        <w:gridCol w:w="5424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1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42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1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28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40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1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6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0(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)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6" w:type="dxa"/>
            <w:vMerge w:val="restart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含管代、安全事务代表）</w:t>
            </w:r>
          </w:p>
        </w:tc>
        <w:tc>
          <w:tcPr>
            <w:tcW w:w="5424" w:type="dxa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QMS：B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9.1.3分析与评价；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9.2内部审核；9.3管理评审；10.1改进 总则；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10.2不符合和纠正措施；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10.3持续改进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EMS：A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9.1.1监测、分析和评估总则；9.2内部审核；9.3管理评审；10.1改进 总则；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10.2</w:t>
            </w:r>
            <w:r>
              <w:rPr>
                <w:rFonts w:hint="eastAsia" w:ascii="宋体" w:hAnsi="宋体" w:cs="新宋体"/>
                <w:sz w:val="18"/>
                <w:szCs w:val="18"/>
              </w:rPr>
              <w:t>不符合和纠正措施；10.3持续改进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OHSMS：A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5.4员工参与和协商；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6.1应对风险和机遇的措施；6.1.4措施的策划；6.2目标及其实现的策划；7.1资源；9.1监视、测量、分析和评价；9.2内部审核；9.3管理评审；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10.1</w:t>
            </w:r>
            <w:r>
              <w:rPr>
                <w:rFonts w:hint="eastAsia" w:ascii="宋体" w:hAnsi="宋体" w:cs="新宋体"/>
                <w:sz w:val="18"/>
                <w:szCs w:val="18"/>
              </w:rPr>
              <w:t>改进 总则；10.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新宋体"/>
                <w:sz w:val="18"/>
                <w:szCs w:val="18"/>
              </w:rPr>
              <w:t>事件、不符合和纠正措施；10.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18"/>
                <w:szCs w:val="18"/>
              </w:rPr>
              <w:t>持续改进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Arial" w:hAnsi="Arial" w:eastAsia="宋体" w:cs="Arial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范围的确认，资质的确认，</w:t>
            </w:r>
            <w:r>
              <w:rPr>
                <w:rFonts w:hint="eastAsia"/>
                <w:sz w:val="21"/>
                <w:szCs w:val="21"/>
              </w:rPr>
              <w:t>管理体系变化情况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法律法规执行情况，重大质量事故，及顾客投诉和质量监督抽查情况，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环境和职业健康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安全投诉，</w:t>
            </w:r>
            <w:r>
              <w:rPr>
                <w:rFonts w:hint="eastAsia" w:ascii="Arial" w:hAnsi="Arial" w:cs="Arial"/>
                <w:sz w:val="21"/>
                <w:szCs w:val="21"/>
                <w:shd w:val="clear" w:color="auto" w:fill="FFFFFF"/>
              </w:rPr>
              <w:t>一阶段问题验证</w:t>
            </w:r>
            <w:r>
              <w:rPr>
                <w:rFonts w:hint="eastAsia" w:ascii="Arial" w:hAnsi="Arial" w:cs="Arial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BA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14：00-17：00</w:t>
            </w:r>
          </w:p>
        </w:tc>
        <w:tc>
          <w:tcPr>
            <w:tcW w:w="1116" w:type="dxa"/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5424" w:type="dxa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QMS：BC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/权限；6.2质量目标及其实现的策划；7.1.2人员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7.1.6组织的知识；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7.2能力；7.3意识；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7.4沟通；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7.5文件化信息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8.4外部提供供方的控制；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EMS：A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7.2能力；7.3意识；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7.4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信息交流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7.5文件化信息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8.1运行策划和控制；8.2应急准备和响应；9.1监视、测量、分析与评估；9.1.2符合性评估；EMS运行控制相关财务支出证据。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OHSMS：A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7.2能力；7.3意识；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7.4沟通；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7.5文件化信息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8.1运行策划和控制；8.2应急准备和响应；9.1监视、测量、分析和评价；9.1.2法律法规要求和其他要求的合规性评价；OHSMS运行控制财务支出证据。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BCA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3" w:hRule="atLeast"/>
          <w:jc w:val="center"/>
        </w:trPr>
        <w:tc>
          <w:tcPr>
            <w:tcW w:w="101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29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0)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6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运营部</w:t>
            </w:r>
          </w:p>
        </w:tc>
        <w:tc>
          <w:tcPr>
            <w:tcW w:w="5424" w:type="dxa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QMS：BC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7.1.4过程运行环境；7.1.5监视和测量设备；8.1运行策划和控制；8.3设计开发控制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/不适用验证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；8.5.1生产和服务提供的控制； 8.5.2标识和可追溯性；8.5.3顾客或外部供方的财产；8.5.4防护；8.5.5交付后的活动；8.5.6更改控制，8.6产品和服务放行；8.7不合格输出的控制；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EMS：A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信息交流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OHSMS：A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5.3组织的角色、职责和权限；6.1.2危险源辨识和职业安全风险评价；6.2目标及其实现的策划；7.4沟通；8.1运行策划和控制；8.2应急准备和响应；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BCA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6" w:type="dxa"/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5424" w:type="dxa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QMS：BC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/权限；6.2质量目标及其实现的策划；8.2产品和服务的要求；9.1.2顾客满意；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EMS：A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信息交流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OHSMS：A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5.3组织的角色、职责和权限；6.1.2危险源辨识和职业安全风险评价；6.2目标及其实现的策划；7.4沟通；8.1运行策划和控制；8.2应急准备和响应；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BCA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54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54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2434859"/>
    <w:rsid w:val="12CB20BC"/>
    <w:rsid w:val="383176CB"/>
    <w:rsid w:val="404D440F"/>
    <w:rsid w:val="416D3AB6"/>
    <w:rsid w:val="42F75C15"/>
    <w:rsid w:val="68930594"/>
    <w:rsid w:val="6A910212"/>
    <w:rsid w:val="736F63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</TotalTime>
  <ScaleCrop>false</ScaleCrop>
  <LinksUpToDate>false</LinksUpToDate>
  <CharactersWithSpaces>5336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2022-04-28T07:50:28Z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2052-11.1.0.11636</vt:lpwstr>
  </property>
</Properties>
</file>