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0143-2020-QEO-2022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北京连诚嘉韵园林绿化有限责任公司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北京连诚嘉韵园林绿化有限责任公司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北京市大兴区青云店林业工作站院内106室</w:t>
            </w:r>
            <w:bookmarkEnd w:id="6"/>
          </w:p>
        </w:tc>
        <w:tc>
          <w:tcPr>
            <w:tcW w:w="1242" w:type="dxa"/>
            <w:vMerge w:val="restart"/>
            <w:vAlign w:val="center"/>
          </w:tcPr>
          <w:p>
            <w:r>
              <w:rPr>
                <w:rFonts w:hint="eastAsia"/>
              </w:rPr>
              <w:t>邮编</w:t>
            </w:r>
          </w:p>
        </w:tc>
        <w:tc>
          <w:tcPr>
            <w:tcW w:w="1771" w:type="dxa"/>
          </w:tcPr>
          <w:p>
            <w:bookmarkStart w:id="7" w:name="注册邮编"/>
            <w:r>
              <w:t>102605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北京市大兴区青云店104国道路南联宾对面</w:t>
            </w:r>
            <w:bookmarkEnd w:id="8"/>
          </w:p>
        </w:tc>
        <w:tc>
          <w:tcPr>
            <w:tcW w:w="1242" w:type="dxa"/>
            <w:vMerge w:val="continue"/>
            <w:vAlign w:val="center"/>
          </w:tcPr>
          <w:p/>
        </w:tc>
        <w:tc>
          <w:tcPr>
            <w:tcW w:w="1771" w:type="dxa"/>
          </w:tcPr>
          <w:p>
            <w:bookmarkStart w:id="9" w:name="办公邮编"/>
            <w:r>
              <w:t>102605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李俊清</w:t>
            </w:r>
            <w:bookmarkEnd w:id="10"/>
          </w:p>
        </w:tc>
        <w:tc>
          <w:tcPr>
            <w:tcW w:w="1313" w:type="dxa"/>
            <w:vAlign w:val="center"/>
          </w:tcPr>
          <w:p>
            <w:r>
              <w:rPr>
                <w:rFonts w:hint="eastAsia"/>
              </w:rPr>
              <w:t>电话.</w:t>
            </w:r>
          </w:p>
        </w:tc>
        <w:tc>
          <w:tcPr>
            <w:tcW w:w="2180" w:type="dxa"/>
            <w:vAlign w:val="center"/>
          </w:tcPr>
          <w:p>
            <w:bookmarkStart w:id="11" w:name="联系人电话"/>
            <w:r>
              <w:t>13911000882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李俊清</w:t>
            </w:r>
            <w:bookmarkEnd w:id="13"/>
          </w:p>
        </w:tc>
        <w:tc>
          <w:tcPr>
            <w:tcW w:w="1313" w:type="dxa"/>
            <w:vAlign w:val="center"/>
          </w:tcPr>
          <w:p>
            <w:r>
              <w:rPr>
                <w:rFonts w:hint="eastAsia"/>
              </w:rPr>
              <w:t>管理者代表</w:t>
            </w:r>
          </w:p>
        </w:tc>
        <w:tc>
          <w:tcPr>
            <w:tcW w:w="2180" w:type="dxa"/>
          </w:tcPr>
          <w:p>
            <w:bookmarkStart w:id="14" w:name="管理者代表"/>
            <w:r>
              <w:t>宋媛媛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客户洽谈→合同签订→材料采购→进场报验→项目施工→过程检验→竣工验收→后期服务。</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2022年05月16日 上午至2022年05月16日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北京市大兴区青云店104国道路南联宾对面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Q：园林绿化服务</w:t>
            </w:r>
          </w:p>
          <w:p>
            <w:r>
              <w:t>E：园林绿化服务及相关环境管理活动。</w:t>
            </w:r>
          </w:p>
          <w:p>
            <w:r>
              <w:t>O：园林绿化服务及相关职业健康安全管理活动。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Q：35.17.00</w:t>
            </w:r>
          </w:p>
          <w:p>
            <w:r>
              <w:t>E：35.17.00</w:t>
            </w:r>
          </w:p>
          <w:p>
            <w:r>
              <w:t>O：35.17.00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513</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49"/>
        <w:gridCol w:w="1710"/>
        <w:gridCol w:w="660"/>
        <w:gridCol w:w="1755"/>
        <w:gridCol w:w="290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49" w:type="dxa"/>
            <w:shd w:val="clear" w:color="auto" w:fill="F3F3F3"/>
            <w:tcMar>
              <w:left w:w="57" w:type="dxa"/>
              <w:right w:w="57" w:type="dxa"/>
            </w:tcMar>
          </w:tcPr>
          <w:p>
            <w:r>
              <w:rPr>
                <w:rFonts w:hint="eastAsia"/>
              </w:rPr>
              <w:t>组织名称及注册场所地址</w:t>
            </w:r>
          </w:p>
        </w:tc>
        <w:tc>
          <w:tcPr>
            <w:tcW w:w="1710" w:type="dxa"/>
            <w:shd w:val="clear" w:color="auto" w:fill="F3F3F3"/>
            <w:tcMar>
              <w:left w:w="57" w:type="dxa"/>
              <w:right w:w="57" w:type="dxa"/>
            </w:tcMar>
          </w:tcPr>
          <w:p>
            <w:r>
              <w:rPr>
                <w:rFonts w:hint="eastAsia"/>
              </w:rPr>
              <w:t>经营场所的地址</w:t>
            </w:r>
          </w:p>
          <w:p>
            <w:r>
              <w:rPr>
                <w:rFonts w:hint="eastAsia"/>
              </w:rPr>
              <w:t>（多现场和临时现场）</w:t>
            </w:r>
          </w:p>
        </w:tc>
        <w:tc>
          <w:tcPr>
            <w:tcW w:w="660" w:type="dxa"/>
            <w:shd w:val="clear" w:color="auto" w:fill="F3F3F3"/>
            <w:tcMar>
              <w:left w:w="57" w:type="dxa"/>
              <w:right w:w="57" w:type="dxa"/>
            </w:tcMar>
          </w:tcPr>
          <w:p>
            <w:r>
              <w:rPr>
                <w:rFonts w:hint="eastAsia"/>
              </w:rPr>
              <w:t>员工人数</w:t>
            </w:r>
          </w:p>
        </w:tc>
        <w:tc>
          <w:tcPr>
            <w:tcW w:w="1755" w:type="dxa"/>
            <w:shd w:val="clear" w:color="auto" w:fill="F3F3F3"/>
            <w:tcMar>
              <w:left w:w="57" w:type="dxa"/>
              <w:right w:w="57" w:type="dxa"/>
            </w:tcMar>
          </w:tcPr>
          <w:p>
            <w:r>
              <w:rPr>
                <w:rFonts w:hint="eastAsia"/>
              </w:rPr>
              <w:t>审核范围（产品和过程）</w:t>
            </w:r>
          </w:p>
          <w:p/>
          <w:p/>
        </w:tc>
        <w:tc>
          <w:tcPr>
            <w:tcW w:w="290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549" w:type="dxa"/>
          </w:tcPr>
          <w:p>
            <w:pPr>
              <w:rPr>
                <w:lang w:val="de-DE" w:eastAsia="ja-JP"/>
              </w:rPr>
            </w:pPr>
            <w:r>
              <w:t>北京市大兴区青云店104国道路南联宾对面</w:t>
            </w:r>
          </w:p>
        </w:tc>
        <w:tc>
          <w:tcPr>
            <w:tcW w:w="1710" w:type="dxa"/>
          </w:tcPr>
          <w:p>
            <w:pPr>
              <w:rPr>
                <w:rFonts w:hint="default" w:eastAsia="宋体"/>
                <w:lang w:val="en-US" w:eastAsia="zh-CN"/>
              </w:rPr>
            </w:pPr>
            <w:r>
              <w:t>北京市大兴区青云</w:t>
            </w:r>
            <w:r>
              <w:rPr>
                <w:rFonts w:hint="eastAsia"/>
                <w:lang w:val="en-US" w:eastAsia="zh-CN"/>
              </w:rPr>
              <w:t>店镇解州营、绿德金地块</w:t>
            </w:r>
          </w:p>
        </w:tc>
        <w:tc>
          <w:tcPr>
            <w:tcW w:w="660" w:type="dxa"/>
            <w:vAlign w:val="center"/>
          </w:tcPr>
          <w:p>
            <w:pPr>
              <w:rPr>
                <w:rFonts w:hint="default" w:eastAsia="宋体"/>
                <w:lang w:val="en-US" w:eastAsia="zh-CN"/>
              </w:rPr>
            </w:pPr>
            <w:r>
              <w:rPr>
                <w:rFonts w:hint="eastAsia"/>
                <w:lang w:val="en-US" w:eastAsia="zh-CN"/>
              </w:rPr>
              <w:t>25</w:t>
            </w:r>
          </w:p>
        </w:tc>
        <w:tc>
          <w:tcPr>
            <w:tcW w:w="1755" w:type="dxa"/>
            <w:vAlign w:val="center"/>
          </w:tcPr>
          <w:p>
            <w:r>
              <w:t>Q：园林绿化服务</w:t>
            </w:r>
          </w:p>
          <w:p>
            <w:r>
              <w:t>E：园林绿化服务及相关环境管理活动。</w:t>
            </w:r>
          </w:p>
          <w:p>
            <w:pPr>
              <w:rPr>
                <w:lang w:eastAsia="ja-JP"/>
              </w:rPr>
            </w:pPr>
            <w:r>
              <w:t>O：园林绿化服务及相关职业健康安全管理活动</w:t>
            </w:r>
          </w:p>
        </w:tc>
        <w:tc>
          <w:tcPr>
            <w:tcW w:w="2903"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rPr>
                <w:lang w:val="de-DE"/>
              </w:rPr>
            </w:pP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2020-N1QMS-1237307</w:t>
            </w:r>
          </w:p>
          <w:p>
            <w:r>
              <w:t>2020-N1EMS-1237307</w:t>
            </w:r>
          </w:p>
          <w:p>
            <w:r>
              <w:t>2020-N1OHSMS-1237307</w:t>
            </w:r>
          </w:p>
        </w:tc>
        <w:tc>
          <w:tcPr>
            <w:tcW w:w="2179" w:type="dxa"/>
            <w:vAlign w:val="center"/>
          </w:tcPr>
          <w:p>
            <w:r>
              <w:t>Q:35.17.00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p>
            <w:r>
              <w:t>2021-N0EMS-1263525</w:t>
            </w:r>
          </w:p>
        </w:tc>
        <w:tc>
          <w:tcPr>
            <w:tcW w:w="2179" w:type="dxa"/>
            <w:vAlign w:val="center"/>
          </w:tcPr>
          <w:p>
            <w:r>
              <w:t>Q:35.17.00</w:t>
            </w:r>
          </w:p>
          <w:p>
            <w:r>
              <w:t>E:35.17.00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rPr>
                <w:rFonts w:ascii="Times New Roman" w:hAnsi="Times New Roman" w:eastAsia="宋体" w:cs="Times New Roman"/>
              </w:rPr>
              <w:t>2022-N1QMS-1280463</w:t>
            </w:r>
          </w:p>
          <w:p>
            <w:r>
              <w:t>2021-N1EMS-1280463</w:t>
            </w:r>
          </w:p>
          <w:p>
            <w:r>
              <w:t>2021-N1OHSMS-1280463</w:t>
            </w:r>
          </w:p>
        </w:tc>
        <w:tc>
          <w:tcPr>
            <w:tcW w:w="2179" w:type="dxa"/>
            <w:vAlign w:val="center"/>
          </w:tcPr>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62230</wp:posOffset>
                  </wp:positionV>
                  <wp:extent cx="625475" cy="332105"/>
                  <wp:effectExtent l="0" t="0" r="14605" b="317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625475" cy="33210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tabs>
                <w:tab w:val="left" w:pos="1852"/>
              </w:tabs>
              <w:rPr>
                <w:rFonts w:hint="eastAsia" w:eastAsia="宋体"/>
                <w:lang w:eastAsia="zh-CN"/>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rPr>
            </w:pPr>
            <w:r>
              <w:rPr>
                <w:rFonts w:hint="eastAsia"/>
              </w:rPr>
              <w:t>遵守法律法规，以人为本， 持续改进，确保体系有效； </w:t>
            </w:r>
          </w:p>
          <w:p>
            <w:pPr>
              <w:rPr>
                <w:u w:val="single"/>
              </w:rPr>
            </w:pPr>
            <w:r>
              <w:rPr>
                <w:rFonts w:hint="eastAsia"/>
              </w:rPr>
              <w:t>以顾客为中心，保护环境， 预防事故，创建满意工程。</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财务状况良好，资金充足</w:t>
                  </w:r>
                </w:p>
              </w:tc>
              <w:tc>
                <w:tcPr>
                  <w:tcW w:w="3965" w:type="dxa"/>
                </w:tcPr>
                <w:p>
                  <w:pPr>
                    <w:shd w:val="clear" w:color="auto" w:fill="C7DAF1" w:themeFill="text2" w:themeFillTint="32"/>
                  </w:pPr>
                  <w:r>
                    <w:rPr>
                      <w:rFonts w:hint="eastAsia"/>
                    </w:rPr>
                    <w:t>财务监管</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公司人员不足，相对流动性较大，外借人员职责和分工不明确</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840" w:type="dxa"/>
                </w:tcPr>
                <w:p>
                  <w:pPr>
                    <w:shd w:val="clear" w:color="auto" w:fill="C7DAF1" w:themeFill="text2" w:themeFillTint="32"/>
                  </w:pPr>
                  <w:r>
                    <w:rPr>
                      <w:rFonts w:hint="eastAsia"/>
                    </w:rPr>
                    <w:t>公司施工质量稳定，但在市场中同行业较多，而且同行业大都是知名企业，竞争压力大</w:t>
                  </w:r>
                </w:p>
              </w:tc>
              <w:tc>
                <w:tcPr>
                  <w:tcW w:w="3965" w:type="dxa"/>
                </w:tcPr>
                <w:p>
                  <w:pPr>
                    <w:shd w:val="clear" w:color="auto" w:fill="C7DAF1" w:themeFill="text2" w:themeFillTint="32"/>
                  </w:pPr>
                  <w:r>
                    <w:rPr>
                      <w:rFonts w:hint="eastAsia"/>
                    </w:rPr>
                    <w:t>加大市场开发</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jc w:val="center"/>
                  </w:pPr>
                  <w:r>
                    <w:rPr>
                      <w:rFonts w:hint="eastAsia"/>
                    </w:rPr>
                    <w:t>施工现场人员经验不足，未安装施工方案进行施工</w:t>
                  </w:r>
                </w:p>
              </w:tc>
              <w:tc>
                <w:tcPr>
                  <w:tcW w:w="3965" w:type="dxa"/>
                </w:tcPr>
                <w:p>
                  <w:pPr>
                    <w:shd w:val="clear" w:color="auto" w:fill="C7DAF1" w:themeFill="text2" w:themeFillTint="32"/>
                  </w:pPr>
                  <w:r>
                    <w:rPr>
                      <w:rFonts w:hint="eastAsia"/>
                    </w:rPr>
                    <w:t>人员培训，施工方案策划</w:t>
                  </w:r>
                </w:p>
              </w:tc>
              <w:tc>
                <w:tcPr>
                  <w:tcW w:w="1717"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eastAsia="宋体" w:cs="Times New Roman"/>
                      <w:lang w:val="en-US" w:eastAsia="zh-CN"/>
                    </w:rPr>
                    <w:t>项目质量合格率：98%以上；</w:t>
                  </w:r>
                </w:p>
              </w:tc>
              <w:tc>
                <w:tcPr>
                  <w:tcW w:w="3136"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lang w:val="en-GB" w:eastAsia="zh-CN" w:bidi="ar-SA"/>
                    </w:rPr>
                  </w:pPr>
                  <w:r>
                    <w:rPr>
                      <w:rFonts w:hint="eastAsia" w:eastAsia="宋体"/>
                      <w:color w:val="000000"/>
                      <w:szCs w:val="18"/>
                      <w:lang w:val="en-US" w:eastAsia="zh-CN"/>
                    </w:rPr>
                    <w:t>实际完成</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eastAsia="宋体" w:cs="Times New Roman"/>
                      <w:lang w:val="en-US" w:eastAsia="zh-CN"/>
                    </w:rPr>
                    <w:t>顾客满意程度：95%以上；</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eastAsia="宋体"/>
                      <w:color w:val="000000"/>
                      <w:szCs w:val="18"/>
                      <w:lang w:val="en-US" w:eastAsia="zh-CN"/>
                    </w:rPr>
                    <w:t>实际完成</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pStyle w:val="2"/>
              <w:rPr>
                <w:u w:val="single"/>
              </w:rPr>
            </w:pPr>
            <w:r>
              <w:rPr>
                <w:rFonts w:hint="eastAsia"/>
              </w:rPr>
              <w:t>主要生产设备有：</w:t>
            </w:r>
            <w:r>
              <w:rPr>
                <w:rFonts w:hint="default"/>
                <w:lang w:val="en-US" w:eastAsia="zh-CN"/>
              </w:rPr>
              <w:t>办公设备：电脑、打印机、扫描仪等</w:t>
            </w:r>
            <w:r>
              <w:rPr>
                <w:rFonts w:hint="eastAsia"/>
                <w:lang w:val="en-US" w:eastAsia="zh-CN"/>
              </w:rPr>
              <w:t>；</w:t>
            </w:r>
            <w:r>
              <w:rPr>
                <w:rFonts w:hint="eastAsia" w:ascii="宋体" w:hAnsi="宋体"/>
                <w:szCs w:val="21"/>
                <w:lang w:val="en-US" w:eastAsia="zh-CN"/>
              </w:rPr>
              <w:t>绿化服务设备</w:t>
            </w:r>
            <w:r>
              <w:rPr>
                <w:rFonts w:hint="eastAsia" w:ascii="宋体" w:hAnsi="宋体"/>
                <w:szCs w:val="21"/>
                <w:highlight w:val="none"/>
              </w:rPr>
              <w:t>；铁锹、铁镐、手据、园艺剪、割草机、粗枝剪、打草机等</w:t>
            </w:r>
          </w:p>
          <w:p>
            <w:pPr>
              <w:shd w:val="clear" w:color="auto" w:fill="C7DAF1" w:themeFill="text2" w:themeFillTint="32"/>
            </w:pPr>
            <w:r>
              <w:rPr>
                <w:rFonts w:hint="eastAsia"/>
              </w:rPr>
              <w:t>特种设备：不适用</w:t>
            </w:r>
          </w:p>
          <w:p>
            <w:pPr>
              <w:shd w:val="clear" w:color="auto" w:fill="C7DAF1" w:themeFill="text2" w:themeFillTint="32"/>
              <w:rPr>
                <w:rFonts w:hint="eastAsia"/>
              </w:rPr>
            </w:pPr>
            <w:r>
              <w:rPr>
                <w:rFonts w:hint="eastAsia"/>
              </w:rPr>
              <w:t>特种设备管理：</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不涉及</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不涉及</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color w:val="auto"/>
                      <w:lang w:val="en-US" w:eastAsia="zh-CN"/>
                    </w:rPr>
                  </w:pPr>
                  <w:r>
                    <w:rPr>
                      <w:rFonts w:hint="eastAsia"/>
                      <w:color w:val="auto"/>
                      <w:lang w:val="en-US" w:eastAsia="zh-CN"/>
                    </w:rPr>
                    <w:t>无</w:t>
                  </w: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rPr>
                <w:rFonts w:hint="default" w:eastAsia="宋体"/>
                <w:lang w:val="en-US" w:eastAsia="zh-CN"/>
              </w:rPr>
            </w:pPr>
            <w:r>
              <w:rPr>
                <w:rFonts w:hint="eastAsia"/>
              </w:rPr>
              <w:t>目前的顾客或外部供方财产包括：</w:t>
            </w:r>
            <w:r>
              <w:rPr>
                <w:rFonts w:hint="eastAsia"/>
                <w:lang w:val="en-US" w:eastAsia="zh-CN"/>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目前交付后活动：维修</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未发生</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lang w:val="en-US" w:eastAsia="zh-CN"/>
              </w:rPr>
              <w:t>2021</w:t>
            </w:r>
            <w:r>
              <w:rPr>
                <w:rFonts w:hint="eastAsia"/>
              </w:rPr>
              <w:t>年</w:t>
            </w:r>
            <w:r>
              <w:rPr>
                <w:rFonts w:hint="eastAsia"/>
                <w:lang w:val="en-US" w:eastAsia="zh-CN"/>
              </w:rPr>
              <w:t>12月10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内审贯穿了多场所，内审的验证结论是正面的。管理者代表相应的职权覆盖了所有的场所。）</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A3"/>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rPr>
            </w:pPr>
            <w:r>
              <w:rPr>
                <w:rFonts w:hint="eastAsia"/>
              </w:rPr>
              <w:t>遵守法律法规，以人为本， 持续改进，确保体系有效； </w:t>
            </w:r>
          </w:p>
          <w:p>
            <w:pPr>
              <w:shd w:val="clear" w:color="auto" w:fill="EBF1DE" w:themeFill="accent3" w:themeFillTint="32"/>
              <w:rPr>
                <w:u w:val="single"/>
              </w:rPr>
            </w:pPr>
            <w:r>
              <w:rPr>
                <w:rFonts w:hint="eastAsia"/>
              </w:rPr>
              <w:t>以顾客为中心，保护环境， 预防事故，创建满意工程。</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445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人员素质参差不齐，环保意识不强，对岗位环境因素认识不足，控制方法不明确</w:t>
                  </w:r>
                </w:p>
              </w:tc>
              <w:tc>
                <w:tcPr>
                  <w:tcW w:w="3965"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制定相应程序文件，组织员工参与岗位环境因素的识别，岗位重要因素的培训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适用环境法律法规的识别、收集及宣传不够，相对应公司内部活动及环境因素不够明确，部</w:t>
                  </w:r>
                  <w:r>
                    <w:rPr>
                      <w:rFonts w:hint="eastAsia" w:ascii="Comic Sans MS" w:hAnsi="DFKai-SB" w:eastAsia="宋体"/>
                      <w:lang w:eastAsia="zh-CN"/>
                    </w:rPr>
                    <w:t>分</w:t>
                  </w:r>
                  <w:r>
                    <w:rPr>
                      <w:rFonts w:ascii="Comic Sans MS" w:hAnsi="DFKai-SB" w:eastAsia="宋体"/>
                      <w:lang w:eastAsia="zh-CN"/>
                    </w:rPr>
                    <w:t>员工守法意识淡薄</w:t>
                  </w:r>
                </w:p>
              </w:tc>
              <w:tc>
                <w:tcPr>
                  <w:tcW w:w="3965"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加强识别、收集，定期更新，重要条款予以培训或纳入制度中</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公司环保资质及设施较为齐全，但管理制度尚不够健全</w:t>
                  </w:r>
                </w:p>
              </w:tc>
              <w:tc>
                <w:tcPr>
                  <w:tcW w:w="3965"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建立健全环保制度，严格落实执行</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员工对废弃收集处理装置不足</w:t>
                  </w:r>
                </w:p>
              </w:tc>
              <w:tc>
                <w:tcPr>
                  <w:tcW w:w="3965" w:type="dxa"/>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加强环保设施的日常维护及管理</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公司内建筑物防火设计及其防火评审，对消防器材安全检查不够健全</w:t>
                  </w:r>
                  <w:r>
                    <w:rPr>
                      <w:rFonts w:ascii="Comic Sans MS" w:hAnsi="Comic Sans MS" w:eastAsia="宋体"/>
                      <w:lang w:eastAsia="zh-CN"/>
                    </w:rPr>
                    <w:t>.</w:t>
                  </w:r>
                </w:p>
              </w:tc>
              <w:tc>
                <w:tcPr>
                  <w:tcW w:w="0" w:type="auto"/>
                  <w:vAlign w:val="center"/>
                </w:tcPr>
                <w:p>
                  <w:pPr>
                    <w:spacing w:before="156"/>
                    <w:jc w:val="both"/>
                    <w:rPr>
                      <w:rFonts w:ascii="Comic Sans MS" w:hAnsi="Comic Sans MS" w:eastAsia="DFKai-SB" w:cs="Times New Roman"/>
                      <w:kern w:val="2"/>
                      <w:sz w:val="21"/>
                      <w:szCs w:val="24"/>
                      <w:lang w:val="en-US" w:eastAsia="zh-CN" w:bidi="ar-SA"/>
                    </w:rPr>
                  </w:pPr>
                  <w:r>
                    <w:rPr>
                      <w:rFonts w:ascii="Comic Sans MS" w:hAnsi="DFKai-SB" w:eastAsia="宋体"/>
                      <w:lang w:eastAsia="zh-CN"/>
                    </w:rPr>
                    <w:t>管理单位主导对现有办公</w:t>
                  </w:r>
                  <w:r>
                    <w:rPr>
                      <w:rFonts w:hint="eastAsia" w:ascii="Comic Sans MS" w:hAnsi="DFKai-SB" w:eastAsia="宋体"/>
                      <w:lang w:eastAsia="zh-CN"/>
                    </w:rPr>
                    <w:t>区</w:t>
                  </w:r>
                  <w:r>
                    <w:rPr>
                      <w:rFonts w:ascii="Comic Sans MS" w:hAnsi="DFKai-SB" w:eastAsia="宋体"/>
                      <w:lang w:eastAsia="zh-CN"/>
                    </w:rPr>
                    <w:t>进行防火设计评审，固定点检</w:t>
                  </w:r>
                  <w:r>
                    <w:rPr>
                      <w:rFonts w:ascii="Comic Sans MS" w:hAnsi="Comic Sans MS" w:eastAsia="宋体"/>
                      <w:lang w:eastAsia="zh-CN"/>
                    </w:rPr>
                    <w:t xml:space="preserve">, </w:t>
                  </w:r>
                  <w:r>
                    <w:rPr>
                      <w:rFonts w:ascii="Comic Sans MS" w:hAnsi="DFKai-SB" w:eastAsia="宋体"/>
                      <w:lang w:eastAsia="zh-CN"/>
                    </w:rPr>
                    <w:t>如评审过程中发现有问题采取措施进行改善。</w:t>
                  </w:r>
                </w:p>
              </w:tc>
              <w:tc>
                <w:tcPr>
                  <w:tcW w:w="0" w:type="auto"/>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固废100%分类集中处理；</w:t>
                  </w:r>
                </w:p>
                <w:p>
                  <w:pPr>
                    <w:shd w:val="clear" w:color="auto" w:fill="EBF1DE" w:themeFill="accent3" w:themeFillTint="32"/>
                    <w:rPr>
                      <w:rFonts w:hint="eastAsia" w:ascii="宋体" w:hAnsi="宋体" w:eastAsia="宋体" w:cs="Times New Roman"/>
                      <w:kern w:val="2"/>
                      <w:sz w:val="21"/>
                      <w:szCs w:val="24"/>
                      <w:lang w:val="en-US" w:eastAsia="zh-CN" w:bidi="ar-SA"/>
                    </w:rPr>
                  </w:pPr>
                </w:p>
              </w:tc>
              <w:tc>
                <w:tcPr>
                  <w:tcW w:w="3136" w:type="dxa"/>
                  <w:shd w:val="clear" w:color="auto" w:fill="auto"/>
                  <w:vAlign w:val="center"/>
                </w:tcPr>
                <w:p>
                  <w:pPr>
                    <w:shd w:val="clear" w:color="auto" w:fill="EBF1DE" w:themeFill="accent3" w:themeFillTint="32"/>
                    <w:jc w:val="left"/>
                    <w:rPr>
                      <w:lang w:val="en-GB"/>
                    </w:rPr>
                  </w:pPr>
                  <w:r>
                    <w:rPr>
                      <w:rFonts w:hint="eastAsia" w:ascii="宋体" w:hAnsi="宋体" w:eastAsia="宋体" w:cs="宋体"/>
                      <w:color w:val="000000" w:themeColor="text1"/>
                      <w:kern w:val="0"/>
                      <w:sz w:val="20"/>
                      <w:szCs w:val="20"/>
                    </w:rPr>
                    <w:t xml:space="preserve">1.对员工进行固废分类要求的培训,使其了解分类的原则及目标                                    </w:t>
                  </w:r>
                  <w:r>
                    <w:rPr>
                      <w:rFonts w:hint="eastAsia" w:ascii="宋体" w:hAnsi="宋体" w:eastAsia="宋体" w:cs="宋体"/>
                      <w:color w:val="000000" w:themeColor="text1"/>
                      <w:kern w:val="0"/>
                      <w:sz w:val="20"/>
                      <w:szCs w:val="20"/>
                    </w:rPr>
                    <w:br w:type="textWrapping"/>
                  </w:r>
                  <w:r>
                    <w:rPr>
                      <w:rFonts w:hint="eastAsia" w:ascii="宋体" w:hAnsi="宋体" w:eastAsia="宋体" w:cs="宋体"/>
                      <w:color w:val="000000" w:themeColor="text1"/>
                      <w:kern w:val="0"/>
                      <w:sz w:val="20"/>
                      <w:szCs w:val="20"/>
                    </w:rPr>
                    <w:t>2.按固废分类要求在施工现场设置分类置物区，并注明每类具体固废项目                                                   3.将固废分类存放作为现场主管日常考核项目,确立责任制度                                        4.制订环境和安全管理作业文件</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工程部、综合部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环境污染事故发生率为0；</w:t>
                  </w:r>
                </w:p>
                <w:p>
                  <w:pPr>
                    <w:shd w:val="clear" w:color="auto" w:fill="EBF1DE" w:themeFill="accent3" w:themeFillTint="32"/>
                    <w:rPr>
                      <w:rFonts w:hint="eastAsia" w:ascii="宋体" w:hAnsi="宋体" w:eastAsia="宋体" w:cs="Times New Roman"/>
                      <w:kern w:val="2"/>
                      <w:sz w:val="21"/>
                      <w:szCs w:val="24"/>
                      <w:lang w:val="en-US" w:eastAsia="zh-CN" w:bidi="ar-SA"/>
                    </w:rPr>
                  </w:pPr>
                </w:p>
              </w:tc>
              <w:tc>
                <w:tcPr>
                  <w:tcW w:w="3136" w:type="dxa"/>
                  <w:shd w:val="clear" w:color="auto" w:fill="auto"/>
                  <w:vAlign w:val="center"/>
                </w:tcPr>
                <w:p>
                  <w:pPr>
                    <w:shd w:val="clear" w:color="auto" w:fill="EBF1DE" w:themeFill="accent3" w:themeFillTint="32"/>
                    <w:rPr>
                      <w:rFonts w:hint="eastAsia" w:ascii="宋体" w:hAnsi="宋体"/>
                    </w:rPr>
                  </w:pPr>
                  <w:r>
                    <w:rPr>
                      <w:rFonts w:hint="eastAsia" w:ascii="宋体" w:hAnsi="宋体"/>
                    </w:rPr>
                    <w:t>1、负责对产生噪声的控制，并达标排放。</w:t>
                  </w:r>
                </w:p>
                <w:p>
                  <w:pPr>
                    <w:shd w:val="clear" w:color="auto" w:fill="EBF1DE" w:themeFill="accent3" w:themeFillTint="32"/>
                    <w:rPr>
                      <w:rFonts w:hint="eastAsia" w:ascii="宋体" w:hAnsi="宋体"/>
                    </w:rPr>
                  </w:pPr>
                  <w:r>
                    <w:rPr>
                      <w:rFonts w:hint="eastAsia" w:ascii="宋体" w:hAnsi="宋体"/>
                    </w:rPr>
                    <w:t>2、全面负责各项污染情况的监督、检查、排放达标情况，对出现异常时及时纠正并追踪改善。</w:t>
                  </w:r>
                </w:p>
                <w:p>
                  <w:pPr>
                    <w:shd w:val="clear" w:color="auto" w:fill="EBF1DE" w:themeFill="accent3" w:themeFillTint="32"/>
                    <w:rPr>
                      <w:rFonts w:hint="eastAsia" w:ascii="宋体" w:hAnsi="宋体"/>
                    </w:rPr>
                  </w:pPr>
                  <w:r>
                    <w:rPr>
                      <w:rFonts w:hint="eastAsia" w:ascii="宋体" w:hAnsi="宋体"/>
                    </w:rPr>
                    <w:t>3、噪音处理操作者严格按照相关设备操作规程进行作业，进行日常保养检查，并严格做好相应记录。</w:t>
                  </w:r>
                </w:p>
                <w:p>
                  <w:pPr>
                    <w:shd w:val="clear" w:color="auto" w:fill="EBF1DE" w:themeFill="accent3" w:themeFillTint="32"/>
                    <w:rPr>
                      <w:rFonts w:hint="eastAsia" w:ascii="宋体" w:hAnsi="宋体"/>
                    </w:rPr>
                  </w:pPr>
                  <w:r>
                    <w:rPr>
                      <w:rFonts w:hint="eastAsia" w:ascii="宋体" w:hAnsi="宋体"/>
                    </w:rPr>
                    <w:t>1、负责对产生扬尘集中处理，并达标排放。</w:t>
                  </w:r>
                </w:p>
                <w:p>
                  <w:pPr>
                    <w:shd w:val="clear" w:color="auto" w:fill="EBF1DE" w:themeFill="accent3" w:themeFillTint="32"/>
                    <w:rPr>
                      <w:rFonts w:hint="eastAsia" w:ascii="宋体" w:hAnsi="宋体"/>
                    </w:rPr>
                  </w:pPr>
                  <w:r>
                    <w:rPr>
                      <w:rFonts w:hint="eastAsia" w:ascii="宋体" w:hAnsi="宋体"/>
                    </w:rPr>
                    <w:t>2、在没有除尘设备的作业场所，员工操作必须轻拿轻放，防治扬尘飞扬。同时，必须佩戴防尘口罩。</w:t>
                  </w:r>
                </w:p>
                <w:p>
                  <w:pPr>
                    <w:shd w:val="clear" w:color="auto" w:fill="EBF1DE" w:themeFill="accent3" w:themeFillTint="32"/>
                    <w:rPr>
                      <w:rFonts w:hint="eastAsia" w:ascii="宋体" w:hAnsi="宋体"/>
                    </w:rPr>
                  </w:pPr>
                  <w:r>
                    <w:rPr>
                      <w:rFonts w:hint="eastAsia" w:ascii="宋体" w:hAnsi="宋体"/>
                    </w:rPr>
                    <w:t>4、定期对污染源进行监控和测量，具体委托具备资质的环境检测机构进行检测。</w:t>
                  </w:r>
                </w:p>
                <w:p>
                  <w:pPr>
                    <w:shd w:val="clear" w:color="auto" w:fill="EBF1DE" w:themeFill="accent3" w:themeFillTint="32"/>
                    <w:rPr>
                      <w:rFonts w:hint="eastAsia" w:ascii="宋体" w:hAnsi="宋体"/>
                    </w:rPr>
                  </w:pPr>
                  <w:r>
                    <w:rPr>
                      <w:rFonts w:hint="eastAsia" w:ascii="宋体" w:hAnsi="宋体"/>
                    </w:rPr>
                    <w:t>5、扬尘处理操作者严格按照相关设备操作规程进行作业，进行日常保养检查，并严格做好相应记录。</w:t>
                  </w:r>
                </w:p>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工程部、综合部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杜绝各类火灾事故，火灾事故发生率为0</w:t>
                  </w:r>
                </w:p>
                <w:p>
                  <w:pPr>
                    <w:shd w:val="clear" w:color="auto" w:fill="EBF1DE" w:themeFill="accent3" w:themeFillTint="32"/>
                    <w:rPr>
                      <w:rFonts w:hint="eastAsia" w:ascii="宋体" w:hAnsi="宋体" w:eastAsia="宋体" w:cs="Times New Roman"/>
                      <w:kern w:val="2"/>
                      <w:sz w:val="21"/>
                      <w:szCs w:val="24"/>
                      <w:lang w:val="en-US" w:eastAsia="zh-CN" w:bidi="ar-SA"/>
                    </w:rPr>
                  </w:pPr>
                </w:p>
              </w:tc>
              <w:tc>
                <w:tcPr>
                  <w:tcW w:w="3136" w:type="dxa"/>
                  <w:shd w:val="clear" w:color="auto" w:fill="auto"/>
                  <w:vAlign w:val="center"/>
                </w:tcPr>
                <w:p>
                  <w:pPr>
                    <w:widowControl/>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1、公司综合部负责设备的配备、采购与管理。</w:t>
                  </w:r>
                </w:p>
                <w:p>
                  <w:pPr>
                    <w:widowControl/>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2、综合部要求配备合理数量的灭火器并确保其有效性。</w:t>
                  </w:r>
                </w:p>
                <w:p>
                  <w:pPr>
                    <w:widowControl/>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3、综合部每月对各部门区域的灭火器进行检查，发现损坏及时要求更换或自行更换。</w:t>
                  </w:r>
                </w:p>
                <w:p>
                  <w:pPr>
                    <w:widowControl/>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4、综合部每季度安全工作检查时，对灭火器进行检查，发现损坏及时更换。</w:t>
                  </w:r>
                </w:p>
                <w:p>
                  <w:pPr>
                    <w:widowControl/>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5、各部门负责及时清理办公区域内的可燃物。</w:t>
                  </w:r>
                </w:p>
                <w:p>
                  <w:pPr>
                    <w:widowControl/>
                    <w:jc w:val="left"/>
                    <w:rPr>
                      <w:rFonts w:ascii="宋体" w:hAnsi="宋体"/>
                    </w:rPr>
                  </w:pPr>
                  <w:r>
                    <w:rPr>
                      <w:rFonts w:hint="eastAsia" w:ascii="宋体" w:hAnsi="宋体" w:eastAsia="宋体" w:cs="宋体"/>
                      <w:color w:val="000000" w:themeColor="text1"/>
                      <w:kern w:val="0"/>
                      <w:sz w:val="20"/>
                      <w:szCs w:val="20"/>
                    </w:rPr>
                    <w:t>6、综合部负责监督此管理方案的落实。</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工程部、综合部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pStyle w:val="2"/>
              <w:rPr>
                <w:u w:val="single"/>
              </w:rPr>
            </w:pPr>
            <w:r>
              <w:rPr>
                <w:rFonts w:hint="eastAsia"/>
              </w:rPr>
              <w:t>主要生产设备有：</w:t>
            </w:r>
            <w:r>
              <w:rPr>
                <w:rFonts w:hint="default"/>
                <w:lang w:val="en-US" w:eastAsia="zh-CN"/>
              </w:rPr>
              <w:t>办公设备：电脑、打印机、扫描仪等</w:t>
            </w:r>
            <w:r>
              <w:rPr>
                <w:rFonts w:hint="eastAsia"/>
                <w:lang w:val="en-US" w:eastAsia="zh-CN"/>
              </w:rPr>
              <w:t>；</w:t>
            </w:r>
            <w:r>
              <w:rPr>
                <w:rFonts w:hint="eastAsia" w:ascii="宋体" w:hAnsi="宋体"/>
                <w:szCs w:val="21"/>
                <w:lang w:val="en-US" w:eastAsia="zh-CN"/>
              </w:rPr>
              <w:t>绿化服务设备</w:t>
            </w:r>
            <w:r>
              <w:rPr>
                <w:rFonts w:hint="eastAsia" w:ascii="宋体" w:hAnsi="宋体"/>
                <w:szCs w:val="21"/>
                <w:highlight w:val="none"/>
              </w:rPr>
              <w:t>；铁锹、铁镐、手据、园艺剪、割草机、粗枝剪、打草机等</w:t>
            </w:r>
          </w:p>
          <w:p>
            <w:pPr>
              <w:shd w:val="clear" w:color="auto" w:fill="EBF1DE" w:themeFill="accent3" w:themeFillTint="32"/>
              <w:rPr>
                <w:u w:val="single"/>
              </w:rPr>
            </w:pPr>
            <w:r>
              <w:rPr>
                <w:rFonts w:hint="eastAsia"/>
              </w:rPr>
              <w:t>主要环保设备有：</w:t>
            </w:r>
            <w:r>
              <w:rPr>
                <w:rFonts w:hint="eastAsia"/>
                <w:lang w:val="en-US" w:eastAsia="zh-CN"/>
              </w:rPr>
              <w:t>灭火器</w:t>
            </w:r>
          </w:p>
          <w:p>
            <w:pPr>
              <w:shd w:val="clear" w:color="auto" w:fill="EBF1DE" w:themeFill="accent3" w:themeFillTint="32"/>
            </w:pPr>
            <w:r>
              <w:rPr>
                <w:rFonts w:hint="eastAsia"/>
              </w:rPr>
              <w:t>特种设备：不适用</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不涉及</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不涉及</w:t>
            </w:r>
          </w:p>
          <w:p>
            <w:pPr>
              <w:shd w:val="clear" w:color="auto" w:fill="EBF1DE" w:themeFill="accent3" w:themeFillTint="32"/>
            </w:pPr>
            <w:r>
              <w:rPr>
                <w:rFonts w:hint="eastAsia"/>
              </w:rPr>
              <w:t>特种设备作业人员：</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组织建立、实施和保持了适当的设计和开发过程，以确保后续的产品和服务的提供中满足环境相关的法律法规。</w:t>
            </w:r>
            <w:r>
              <w:rPr>
                <w:rFonts w:hint="eastAsia"/>
                <w:lang w:val="en-US" w:eastAsia="zh-CN"/>
              </w:rPr>
              <w:t>不涉及</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lang w:val="en-US" w:eastAsia="zh-CN"/>
              </w:rPr>
              <w:t>不涉及</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eastAsia" w:eastAsia="宋体"/>
                <w:lang w:eastAsia="zh-CN"/>
              </w:rPr>
            </w:pPr>
            <w:r>
              <w:rPr>
                <w:rFonts w:hint="eastAsia"/>
              </w:rPr>
              <w:t>采用的标识方式：</w:t>
            </w:r>
            <w:r>
              <w:rPr>
                <w:rFonts w:hint="eastAsia" w:ascii="Wingdings" w:hAnsi="Wingdings"/>
                <w:lang w:val="en-US" w:eastAsia="zh-CN"/>
              </w:rPr>
              <w:t>不涉及</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未发生</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内审贯穿了多场所，内审的验证结论是正面的。管理者代表相应的职权覆盖了所有的场所。）</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自我检查的结果</w:t>
            </w:r>
            <w:r>
              <w:rPr>
                <w:rFonts w:hint="eastAsia" w:ascii="Wingdings" w:hAnsi="Wingdings"/>
              </w:rPr>
              <w:t>¨</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rPr>
            </w:pPr>
            <w:r>
              <w:rPr>
                <w:rFonts w:hint="eastAsia"/>
              </w:rPr>
              <w:t>遵守法律法规，以人为本， 持续改进，确保体系有效； </w:t>
            </w:r>
          </w:p>
          <w:p>
            <w:pPr>
              <w:rPr>
                <w:u w:val="single"/>
              </w:rPr>
            </w:pPr>
            <w:r>
              <w:rPr>
                <w:rFonts w:hint="eastAsia"/>
              </w:rPr>
              <w:t>以顾客为中心，保护环境， 预防事故，创建满意工程。</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赵建红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加强日常检查，选用质量合格的电气线路，外线电路增加把偶</w:t>
                  </w:r>
                  <w:r>
                    <w:rPr>
                      <w:rFonts w:hint="eastAsia" w:ascii="宋体" w:hAnsi="宋体" w:cs="宋体"/>
                      <w:i w:val="0"/>
                      <w:iCs w:val="0"/>
                      <w:color w:val="000000"/>
                      <w:kern w:val="0"/>
                      <w:sz w:val="20"/>
                      <w:szCs w:val="20"/>
                      <w:u w:val="none"/>
                      <w:lang w:val="en-US" w:eastAsia="zh-CN" w:bidi="ar"/>
                    </w:rPr>
                    <w:t>，安装过载保护装置，先用较粗的电缆等</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触电</w:t>
                  </w:r>
                </w:p>
              </w:tc>
              <w:tc>
                <w:tcPr>
                  <w:tcW w:w="396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安装漏电保护期，定期对电源插座等进行检查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center"/>
                    <w:rPr>
                      <w:rFonts w:ascii="宋体" w:hAnsi="宋体" w:eastAsia="宋体" w:cs="宋体"/>
                      <w:kern w:val="0"/>
                      <w:sz w:val="20"/>
                      <w:szCs w:val="20"/>
                      <w:lang w:val="en-US" w:eastAsia="zh-CN" w:bidi="ar-SA"/>
                    </w:rPr>
                  </w:pPr>
                </w:p>
              </w:tc>
              <w:tc>
                <w:tcPr>
                  <w:tcW w:w="3965" w:type="dxa"/>
                  <w:vAlign w:val="center"/>
                </w:tcPr>
                <w:p>
                  <w:pPr>
                    <w:widowControl/>
                    <w:jc w:val="center"/>
                    <w:rPr>
                      <w:rFonts w:hint="eastAsia" w:ascii="宋体" w:hAnsi="宋体" w:eastAsia="宋体" w:cs="Times New Roman"/>
                      <w:kern w:val="2"/>
                      <w:sz w:val="21"/>
                      <w:szCs w:val="21"/>
                      <w:lang w:val="en-US" w:eastAsia="zh-CN" w:bidi="ar-SA"/>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center"/>
                    <w:rPr>
                      <w:rFonts w:hint="eastAsia" w:ascii="宋体" w:hAnsi="宋体" w:eastAsia="宋体" w:cs="Times New Roman"/>
                      <w:kern w:val="2"/>
                      <w:sz w:val="21"/>
                      <w:szCs w:val="21"/>
                      <w:lang w:val="en-US" w:eastAsia="zh-CN" w:bidi="ar-SA"/>
                    </w:rPr>
                  </w:pPr>
                  <w:r>
                    <w:rPr>
                      <w:rFonts w:hint="eastAsia" w:ascii="宋体" w:hAnsi="宋体" w:cs="宋体"/>
                      <w:kern w:val="0"/>
                      <w:sz w:val="20"/>
                      <w:szCs w:val="20"/>
                    </w:rPr>
                    <w:t>无火灾事故发生</w:t>
                  </w:r>
                </w:p>
              </w:tc>
              <w:tc>
                <w:tcPr>
                  <w:tcW w:w="3136" w:type="dxa"/>
                  <w:shd w:val="clear" w:color="auto" w:fill="auto"/>
                  <w:vAlign w:val="center"/>
                </w:tcPr>
                <w:p>
                  <w:pPr>
                    <w:numPr>
                      <w:ilvl w:val="0"/>
                      <w:numId w:val="2"/>
                    </w:numPr>
                    <w:spacing w:line="36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易燃易爆物品必须有严格的防火措施，确定防火负责人，配备灭火器材，加强巡查。</w:t>
                  </w:r>
                </w:p>
                <w:p>
                  <w:pPr>
                    <w:numPr>
                      <w:ilvl w:val="0"/>
                      <w:numId w:val="2"/>
                    </w:numPr>
                    <w:spacing w:line="360" w:lineRule="auto"/>
                    <w:rPr>
                      <w:rFonts w:hint="eastAsia" w:ascii="宋体" w:hAnsi="宋体" w:cs="宋体"/>
                      <w:color w:val="000000"/>
                      <w:kern w:val="0"/>
                      <w:sz w:val="20"/>
                      <w:szCs w:val="20"/>
                    </w:rPr>
                  </w:pPr>
                  <w:r>
                    <w:rPr>
                      <w:rFonts w:hint="eastAsia" w:ascii="宋体" w:hAnsi="宋体" w:cs="宋体"/>
                      <w:color w:val="000000"/>
                      <w:kern w:val="0"/>
                      <w:sz w:val="20"/>
                      <w:szCs w:val="20"/>
                    </w:rPr>
                    <w:t>原材料的存放、使用必须符合防火要求。</w:t>
                  </w:r>
                </w:p>
                <w:p>
                  <w:pPr>
                    <w:numPr>
                      <w:ilvl w:val="0"/>
                      <w:numId w:val="2"/>
                    </w:numPr>
                    <w:spacing w:line="360" w:lineRule="auto"/>
                    <w:rPr>
                      <w:rFonts w:hint="eastAsia" w:ascii="宋体" w:hAnsi="宋体" w:cs="宋体"/>
                      <w:color w:val="000000"/>
                      <w:kern w:val="0"/>
                      <w:sz w:val="20"/>
                      <w:szCs w:val="20"/>
                    </w:rPr>
                  </w:pPr>
                  <w:r>
                    <w:rPr>
                      <w:rFonts w:hint="eastAsia" w:ascii="宋体" w:hAnsi="宋体" w:cs="宋体"/>
                      <w:color w:val="000000"/>
                      <w:kern w:val="0"/>
                      <w:sz w:val="20"/>
                      <w:szCs w:val="20"/>
                    </w:rPr>
                    <w:t>办公区域的用电要符合防火规定。</w:t>
                  </w:r>
                </w:p>
                <w:p>
                  <w:pPr>
                    <w:numPr>
                      <w:ilvl w:val="0"/>
                      <w:numId w:val="2"/>
                    </w:numPr>
                    <w:spacing w:line="360" w:lineRule="auto"/>
                    <w:rPr>
                      <w:rFonts w:hint="eastAsia" w:ascii="宋体" w:hAnsi="宋体" w:cs="宋体"/>
                      <w:kern w:val="0"/>
                      <w:sz w:val="20"/>
                      <w:szCs w:val="20"/>
                    </w:rPr>
                  </w:pPr>
                  <w:r>
                    <w:rPr>
                      <w:rFonts w:hint="eastAsia" w:ascii="宋体" w:hAnsi="宋体" w:cs="宋体"/>
                      <w:color w:val="000000"/>
                      <w:kern w:val="0"/>
                      <w:sz w:val="20"/>
                      <w:szCs w:val="20"/>
                    </w:rPr>
                    <w:t>制定消防预案，</w:t>
                  </w:r>
                  <w:r>
                    <w:rPr>
                      <w:rFonts w:hint="eastAsia" w:ascii="宋体" w:hAnsi="宋体" w:cs="宋体"/>
                      <w:kern w:val="0"/>
                      <w:sz w:val="20"/>
                      <w:szCs w:val="20"/>
                    </w:rPr>
                    <w:t>成立应急小组处理突发事件。</w:t>
                  </w:r>
                </w:p>
                <w:p>
                  <w:pPr>
                    <w:spacing w:line="360" w:lineRule="auto"/>
                    <w:rPr>
                      <w:rFonts w:hint="eastAsia" w:ascii="宋体" w:hAnsi="宋体" w:eastAsia="宋体" w:cs="Times New Roman"/>
                      <w:kern w:val="0"/>
                      <w:sz w:val="20"/>
                      <w:szCs w:val="20"/>
                      <w:lang w:val="en-GB" w:eastAsia="zh-CN" w:bidi="ar-SA"/>
                    </w:rPr>
                  </w:pPr>
                  <w:r>
                    <w:rPr>
                      <w:rFonts w:hint="eastAsia" w:ascii="宋体" w:hAnsi="宋体" w:cs="宋体"/>
                      <w:kern w:val="0"/>
                      <w:sz w:val="20"/>
                      <w:szCs w:val="20"/>
                    </w:rPr>
                    <w:t>5、定期对电线、电缆电气设施进行检修。</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杜绝机械伤害事故发生</w:t>
                  </w:r>
                </w:p>
              </w:tc>
              <w:tc>
                <w:tcPr>
                  <w:tcW w:w="3136" w:type="dxa"/>
                  <w:shd w:val="clear" w:color="auto" w:fill="auto"/>
                  <w:vAlign w:val="center"/>
                </w:tcPr>
                <w:p>
                  <w:pPr>
                    <w:numPr>
                      <w:ilvl w:val="0"/>
                      <w:numId w:val="3"/>
                    </w:numPr>
                    <w:spacing w:line="360" w:lineRule="auto"/>
                    <w:jc w:val="left"/>
                    <w:rPr>
                      <w:rFonts w:hint="eastAsia" w:ascii="宋体" w:hAnsi="宋体" w:cs="宋体"/>
                      <w:kern w:val="0"/>
                      <w:sz w:val="20"/>
                      <w:szCs w:val="20"/>
                    </w:rPr>
                  </w:pPr>
                  <w:r>
                    <w:rPr>
                      <w:rFonts w:hint="eastAsia" w:ascii="宋体" w:hAnsi="宋体" w:cs="宋体"/>
                      <w:kern w:val="0"/>
                      <w:sz w:val="20"/>
                      <w:szCs w:val="20"/>
                    </w:rPr>
                    <w:t>投入使用的机械设备必须完好，安全防护措施齐全，大型设备有生产许可证、出厂合格证。　　</w:t>
                  </w:r>
                </w:p>
                <w:p>
                  <w:pPr>
                    <w:numPr>
                      <w:ilvl w:val="0"/>
                      <w:numId w:val="3"/>
                    </w:numPr>
                    <w:spacing w:line="360" w:lineRule="auto"/>
                    <w:rPr>
                      <w:rFonts w:hint="eastAsia" w:ascii="宋体" w:hAnsi="宋体" w:cs="宋体"/>
                      <w:kern w:val="0"/>
                      <w:sz w:val="20"/>
                      <w:szCs w:val="20"/>
                    </w:rPr>
                  </w:pPr>
                  <w:r>
                    <w:rPr>
                      <w:rFonts w:hint="eastAsia" w:ascii="宋体" w:hAnsi="宋体" w:cs="宋体"/>
                      <w:kern w:val="0"/>
                      <w:sz w:val="20"/>
                      <w:szCs w:val="20"/>
                    </w:rPr>
                    <w:t>作业人员经过培训上岗，特种作业人员持特种作业证上岗。　　</w:t>
                  </w:r>
                </w:p>
                <w:p>
                  <w:pPr>
                    <w:numPr>
                      <w:ilvl w:val="0"/>
                      <w:numId w:val="3"/>
                    </w:numPr>
                    <w:spacing w:line="360" w:lineRule="auto"/>
                    <w:rPr>
                      <w:rFonts w:hint="eastAsia" w:ascii="宋体" w:hAnsi="宋体" w:cs="宋体"/>
                      <w:kern w:val="0"/>
                      <w:sz w:val="20"/>
                      <w:szCs w:val="20"/>
                    </w:rPr>
                  </w:pPr>
                  <w:r>
                    <w:rPr>
                      <w:rFonts w:hint="eastAsia" w:ascii="宋体" w:hAnsi="宋体" w:cs="宋体"/>
                      <w:kern w:val="0"/>
                      <w:sz w:val="20"/>
                      <w:szCs w:val="20"/>
                    </w:rPr>
                    <w:t>机械设备安装后应按规定办理安装验收手续，报上级部门检测，经检测合格后才能使用。　　</w:t>
                  </w:r>
                </w:p>
                <w:p>
                  <w:pPr>
                    <w:numPr>
                      <w:ilvl w:val="0"/>
                      <w:numId w:val="3"/>
                    </w:numPr>
                    <w:spacing w:line="360" w:lineRule="auto"/>
                    <w:rPr>
                      <w:rFonts w:hint="eastAsia" w:ascii="宋体" w:hAnsi="宋体" w:cs="宋体"/>
                      <w:kern w:val="0"/>
                      <w:sz w:val="20"/>
                      <w:szCs w:val="20"/>
                    </w:rPr>
                  </w:pPr>
                  <w:r>
                    <w:rPr>
                      <w:rFonts w:hint="eastAsia" w:ascii="宋体" w:hAnsi="宋体" w:cs="宋体"/>
                      <w:kern w:val="0"/>
                      <w:sz w:val="20"/>
                      <w:szCs w:val="20"/>
                    </w:rPr>
                    <w:t>作业人员必须佩戴好劳动保护用品，严格按说明书及安全操作规程进行操作。　　</w:t>
                  </w:r>
                </w:p>
                <w:p>
                  <w:pPr>
                    <w:numPr>
                      <w:ilvl w:val="0"/>
                      <w:numId w:val="3"/>
                    </w:numPr>
                    <w:spacing w:line="360" w:lineRule="auto"/>
                    <w:rPr>
                      <w:rFonts w:hint="eastAsia" w:ascii="宋体" w:hAnsi="宋体" w:cs="宋体"/>
                      <w:kern w:val="0"/>
                      <w:sz w:val="20"/>
                      <w:szCs w:val="20"/>
                    </w:rPr>
                  </w:pPr>
                  <w:r>
                    <w:rPr>
                      <w:rFonts w:hint="eastAsia" w:ascii="宋体" w:hAnsi="宋体" w:cs="宋体"/>
                      <w:kern w:val="0"/>
                      <w:sz w:val="20"/>
                      <w:szCs w:val="20"/>
                    </w:rPr>
                    <w:t>对机械设备的维护、保养、必须在停机状态下进行。　</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kern w:val="0"/>
                      <w:sz w:val="20"/>
                      <w:szCs w:val="20"/>
                    </w:rPr>
                    <w:t>6、加强对机械设备的维修保养，保持机械设备处于良好的技术状态，各种安全防护设施齐全可靠。</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杜绝触电事故发生</w:t>
                  </w:r>
                </w:p>
              </w:tc>
              <w:tc>
                <w:tcPr>
                  <w:tcW w:w="3136" w:type="dxa"/>
                  <w:shd w:val="clear" w:color="auto" w:fill="auto"/>
                  <w:vAlign w:val="center"/>
                </w:tcPr>
                <w:p>
                  <w:pPr>
                    <w:numPr>
                      <w:numId w:val="0"/>
                    </w:numPr>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1、应严格执行安全操作规程，作业时落实安全组织措施和安全技术措施。</w:t>
                  </w:r>
                </w:p>
                <w:p>
                  <w:pPr>
                    <w:numPr>
                      <w:numId w:val="0"/>
                    </w:numPr>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2、加强巡检，定期进行检修，非电气人员不得安装电气设备，系统应安装漏电保护装置。</w:t>
                  </w:r>
                </w:p>
                <w:p>
                  <w:pPr>
                    <w:numPr>
                      <w:numId w:val="0"/>
                    </w:numPr>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3、严格执行安全操作规程，做好巡检，维修保养及周期检查工作。临时用电必须按照国家临时用电规程执行，严格管理，严禁乱接乱拉。</w:t>
                  </w:r>
                </w:p>
                <w:p>
                  <w:pPr>
                    <w:numPr>
                      <w:numId w:val="0"/>
                    </w:num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宋体"/>
                      <w:kern w:val="0"/>
                      <w:sz w:val="20"/>
                      <w:szCs w:val="20"/>
                    </w:rPr>
                    <w:t>4、系统必须接地良好，加强接地系统和线路的巡视检查及测试，及时维修；加强系统电气设备的巡视检查和维修保养。</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pStyle w:val="2"/>
              <w:rPr>
                <w:u w:val="single"/>
              </w:rPr>
            </w:pPr>
            <w:r>
              <w:rPr>
                <w:rFonts w:hint="eastAsia"/>
              </w:rPr>
              <w:t>主要生产设备有：</w:t>
            </w:r>
            <w:r>
              <w:rPr>
                <w:rFonts w:hint="default"/>
                <w:lang w:val="en-US" w:eastAsia="zh-CN"/>
              </w:rPr>
              <w:t>办公设备：电脑、打印机、扫描仪等</w:t>
            </w:r>
            <w:r>
              <w:rPr>
                <w:rFonts w:hint="eastAsia"/>
                <w:lang w:val="en-US" w:eastAsia="zh-CN"/>
              </w:rPr>
              <w:t>；</w:t>
            </w:r>
            <w:r>
              <w:rPr>
                <w:rFonts w:hint="eastAsia" w:ascii="宋体" w:hAnsi="宋体"/>
                <w:szCs w:val="21"/>
                <w:lang w:val="en-US" w:eastAsia="zh-CN"/>
              </w:rPr>
              <w:t>绿化服务设备</w:t>
            </w:r>
            <w:r>
              <w:rPr>
                <w:rFonts w:hint="eastAsia" w:ascii="宋体" w:hAnsi="宋体"/>
                <w:szCs w:val="21"/>
                <w:highlight w:val="none"/>
              </w:rPr>
              <w:t>；铁锹、铁镐、手据、园艺剪、割草机、粗枝剪、打草机等</w:t>
            </w:r>
          </w:p>
          <w:p>
            <w:r>
              <w:rPr>
                <w:rFonts w:hint="eastAsia"/>
              </w:rPr>
              <w:t>主要安全装置有：</w:t>
            </w:r>
          </w:p>
          <w:p>
            <w:pPr>
              <w:rPr>
                <w:u w:val="single"/>
              </w:rPr>
            </w:pPr>
            <w:r>
              <w:rPr>
                <w:rFonts w:hint="eastAsia"/>
              </w:rPr>
              <w:t>消防系统</w:t>
            </w:r>
            <w:r>
              <w:rPr>
                <w:rFonts w:hint="eastAsia" w:ascii="Wingdings" w:hAnsi="Wingdings"/>
              </w:rPr>
              <w:t>¨</w:t>
            </w:r>
          </w:p>
          <w:p>
            <w:r>
              <w:rPr>
                <w:rFonts w:hint="eastAsia"/>
              </w:rPr>
              <w:t>特种设备：不适用</w:t>
            </w:r>
          </w:p>
          <w:p>
            <w:pPr>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不适用</w:t>
            </w:r>
          </w:p>
          <w:p>
            <w:r>
              <w:rPr>
                <w:rFonts w:hint="eastAsia"/>
              </w:rPr>
              <w:t>职业健康安全监测的计量器具有：</w:t>
            </w:r>
            <w:r>
              <w:rPr>
                <w:rFonts w:hint="eastAsia"/>
                <w:lang w:val="en-US" w:eastAsia="zh-CN"/>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val="en-US"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 xml:space="preserve">作业文件  </w:t>
            </w:r>
            <w:r>
              <w:rPr>
                <w:rFonts w:hint="eastAsia" w:ascii="Wingdings" w:hAnsi="Wingdings"/>
              </w:rPr>
              <w:t>¨</w:t>
            </w:r>
            <w:r>
              <w:rPr>
                <w:rFonts w:hint="eastAsia"/>
              </w:rPr>
              <w:t>安全操作规程</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组织建立、实施和保持了适当的设计和开发过程，以确保后续的产品和服务的提供中满足职业健康安全相关的法律法规。</w:t>
            </w:r>
            <w:r>
              <w:rPr>
                <w:rFonts w:hint="eastAsia"/>
                <w:lang w:val="en-US" w:eastAsia="zh-CN"/>
              </w:rPr>
              <w:t>不适用</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val="en-US" w:eastAsia="zh-CN"/>
              </w:rPr>
            </w:pPr>
            <w:r>
              <w:rPr>
                <w:rFonts w:hint="eastAsia"/>
              </w:rPr>
              <w:t>外部提供包括：</w:t>
            </w:r>
            <w:r>
              <w:rPr>
                <w:rFonts w:hint="eastAsia"/>
                <w:lang w:val="en-US" w:eastAsia="zh-CN"/>
              </w:rPr>
              <w:t>无</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A3"/>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应急预案、应急演练</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p>
          <w:p>
            <w:pPr>
              <w:rPr>
                <w:rFonts w:hint="eastAsia" w:eastAsia="宋体"/>
                <w:u w:val="single"/>
                <w:lang w:eastAsia="zh-CN"/>
              </w:rPr>
            </w:pPr>
            <w:r>
              <w:rPr>
                <w:rFonts w:hint="eastAsia"/>
              </w:rPr>
              <w:t>特种设备管理：</w:t>
            </w:r>
            <w:r>
              <w:rPr>
                <w:rFonts w:hint="eastAsia" w:ascii="Wingdings" w:hAnsi="Wingdings"/>
              </w:rPr>
              <w:t>¨</w:t>
            </w:r>
            <w:r>
              <w:rPr>
                <w:rFonts w:hint="eastAsia"/>
                <w:lang w:val="en-US" w:eastAsia="zh-CN"/>
              </w:rPr>
              <w:t>不涉及</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采用的标识方式：危害告知标牌</w:t>
            </w:r>
            <w:r>
              <w:rPr>
                <w:rFonts w:hint="eastAsia" w:ascii="Wingdings" w:hAnsi="Wingdings"/>
              </w:rPr>
              <w:t>¨</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eastAsia" w:eastAsia="宋体"/>
                <w:lang w:eastAsia="zh-CN"/>
              </w:rPr>
            </w:pPr>
            <w:r>
              <w:rPr>
                <w:rFonts w:hint="eastAsia"/>
              </w:rPr>
              <w:t>危化品：</w:t>
            </w:r>
            <w:r>
              <w:rPr>
                <w:rFonts w:hint="eastAsia" w:ascii="Wingdings" w:hAnsi="Wingdings"/>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未发生</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lang w:val="en-US" w:eastAsia="zh-CN"/>
              </w:rPr>
            </w:pPr>
            <w:r>
              <w:rPr>
                <w:rFonts w:hint="eastAsia" w:ascii="Wingdings" w:hAnsi="Wingdings"/>
              </w:rPr>
              <w:t>¨</w:t>
            </w:r>
            <w:r>
              <w:rPr>
                <w:rFonts w:hint="eastAsia"/>
              </w:rPr>
              <w:t>火灾控制</w:t>
            </w:r>
            <w:r>
              <w:rPr>
                <w:rFonts w:hint="eastAsia" w:ascii="Wingdings" w:hAnsi="Wingdings"/>
              </w:rPr>
              <w:t>¨</w:t>
            </w:r>
          </w:p>
          <w:p>
            <w:r>
              <w:rPr>
                <w:rFonts w:hint="eastAsia"/>
              </w:rPr>
              <w:t>审核周期内发生过紧急情况：</w:t>
            </w:r>
            <w:r>
              <w:rPr>
                <w:rFonts w:hint="eastAsia" w:ascii="Wingdings" w:hAnsi="Wingdings"/>
              </w:rPr>
              <w:t>¨</w:t>
            </w:r>
            <w:r>
              <w:rPr>
                <w:rFonts w:hint="eastAsia"/>
              </w:rPr>
              <w:t>未发生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p>
          <w:p>
            <w:r>
              <w:rPr>
                <w:rFonts w:hint="eastAsia"/>
              </w:rPr>
              <w:t>达标评价：</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内审贯穿了多场所内审的验证结论是正面的。管理者代表相应的职权覆盖了所有的场所。）</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eastAsia="宋体"/>
                <w:lang w:eastAsia="zh-CN"/>
              </w:rPr>
            </w:pPr>
            <w:r>
              <w:rPr>
                <w:rFonts w:hint="eastAsia" w:ascii="Wingdings" w:hAnsi="Wingdings"/>
                <w:lang w:val="en-US" w:eastAsia="zh-CN"/>
              </w:rPr>
              <w:t>未发生</w:t>
            </w:r>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2111B"/>
    <w:multiLevelType w:val="singleLevel"/>
    <w:tmpl w:val="DEA2111B"/>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429A30C"/>
    <w:multiLevelType w:val="singleLevel"/>
    <w:tmpl w:val="F429A30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NDgxNDc1YjkxYWRmMTllNWNjNGQwYzE0NTkzY2MifQ=="/>
  </w:docVars>
  <w:rsids>
    <w:rsidRoot w:val="00000000"/>
    <w:rsid w:val="249217C5"/>
    <w:rsid w:val="4D551EB6"/>
    <w:rsid w:val="5FA92ECC"/>
    <w:rsid w:val="76D417EE"/>
    <w:rsid w:val="77660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3"/>
    <w:unhideWhenUsed/>
    <w:qFormat/>
    <w:uiPriority w:val="0"/>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18652</Words>
  <Characters>19484</Characters>
  <Lines>150</Lines>
  <Paragraphs>42</Paragraphs>
  <TotalTime>5</TotalTime>
  <ScaleCrop>false</ScaleCrop>
  <LinksUpToDate>false</LinksUpToDate>
  <CharactersWithSpaces>19605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2022-05-16T07:23:34Z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