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rPr>
        <w:t xml:space="preserve">                                               </w:t>
      </w:r>
      <w:r>
        <w:rPr>
          <w:rFonts w:hint="eastAsia" w:ascii="宋体" w:hAnsi="宋体"/>
          <w:sz w:val="18"/>
        </w:rPr>
        <w:t xml:space="preserve">  编  号：</w:t>
      </w:r>
      <w:bookmarkStart w:id="0" w:name="合同编号"/>
      <w:r>
        <w:rPr>
          <w:szCs w:val="44"/>
        </w:rPr>
        <w:t>0639-2019-Q</w:t>
      </w:r>
      <w:bookmarkEnd w:id="0"/>
    </w:p>
    <w:p>
      <w:pPr>
        <w:wordWrap w:val="0"/>
        <w:bidi w:val="0"/>
        <w:ind w:right="401" w:rightChars="191"/>
        <w:jc w:val="center"/>
        <w:rPr>
          <w:rFonts w:hint="eastAsia" w:ascii="宋体" w:hAnsi="宋体"/>
          <w:sz w:val="18"/>
        </w:rPr>
      </w:pPr>
    </w:p>
    <w:p>
      <w:pPr>
        <w:snapToGrid w:val="0"/>
        <w:spacing w:afterLines="30"/>
        <w:jc w:val="both"/>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重庆鑫信宇交通工程有限公司</w:t>
      </w:r>
      <w:bookmarkEnd w:id="1"/>
    </w:p>
    <w:p>
      <w:pPr>
        <w:snapToGrid w:val="0"/>
        <w:spacing w:after="94" w:afterLines="30"/>
        <w:rPr>
          <w:rFonts w:ascii="楷体" w:hAnsi="楷体" w:eastAsia="楷体"/>
          <w:b/>
          <w:color w:val="000000" w:themeColor="text1"/>
          <w:sz w:val="32"/>
          <w:szCs w:val="32"/>
          <w:u w:val="single"/>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rPr>
                <w:sz w:val="18"/>
                <w:szCs w:val="18"/>
              </w:rPr>
            </w:pPr>
          </w:p>
        </w:tc>
        <w:tc>
          <w:tcPr>
            <w:tcW w:w="992" w:type="dxa"/>
            <w:vAlign w:val="center"/>
          </w:tcPr>
          <w:p>
            <w:pPr>
              <w:spacing w:line="240" w:lineRule="exact"/>
              <w:rPr>
                <w:sz w:val="18"/>
                <w:szCs w:val="18"/>
              </w:rPr>
            </w:pPr>
          </w:p>
        </w:tc>
        <w:tc>
          <w:tcPr>
            <w:tcW w:w="1216" w:type="dxa"/>
            <w:vAlign w:val="center"/>
          </w:tcPr>
          <w:p>
            <w:pPr>
              <w:spacing w:line="240" w:lineRule="exact"/>
              <w:jc w:val="center"/>
              <w:rPr>
                <w:sz w:val="18"/>
                <w:szCs w:val="18"/>
              </w:rPr>
            </w:pPr>
          </w:p>
        </w:tc>
        <w:tc>
          <w:tcPr>
            <w:tcW w:w="3478" w:type="dxa"/>
            <w:gridSpan w:val="3"/>
          </w:tcPr>
          <w:p>
            <w:pPr>
              <w:spacing w:line="240" w:lineRule="exact"/>
              <w:rPr>
                <w:sz w:val="18"/>
                <w:szCs w:val="18"/>
              </w:rPr>
            </w:pPr>
          </w:p>
        </w:tc>
        <w:tc>
          <w:tcPr>
            <w:tcW w:w="2333" w:type="dxa"/>
            <w:gridSpan w:val="2"/>
            <w:vAlign w:val="center"/>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 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重庆鑫信宇交通工程有限公司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重庆市北部新区栖霞路18号10幢1单元6-4</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重庆市北部新区金渝大道89号4栋4-1</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史常林</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023-81212299</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吴海华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史常林</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hint="eastAsia" w:ascii="宋体" w:hAnsi="宋体"/>
                <w:szCs w:val="21"/>
              </w:rPr>
              <w:t>环保设备、电子监控设备、护栏及配件、标识、标牌、钢结构件的销售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29.12.00</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2019-06-01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8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511"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综合办</w:t>
            </w:r>
          </w:p>
        </w:tc>
        <w:tc>
          <w:tcPr>
            <w:tcW w:w="8511"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业务</w:t>
            </w:r>
            <w:r>
              <w:rPr>
                <w:rFonts w:hint="eastAsia" w:ascii="宋体" w:hAnsi="宋体"/>
                <w:b/>
                <w:color w:val="000000" w:themeColor="text1"/>
                <w:sz w:val="20"/>
                <w:szCs w:val="20"/>
              </w:rPr>
              <w:t>部</w:t>
            </w:r>
          </w:p>
        </w:tc>
        <w:tc>
          <w:tcPr>
            <w:tcW w:w="8511"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jc w:val="center"/>
              <w:rPr>
                <w:rFonts w:ascii="宋体" w:hAnsi="宋体"/>
                <w:b/>
                <w:color w:val="000000" w:themeColor="text1"/>
                <w:sz w:val="20"/>
                <w:szCs w:val="20"/>
              </w:rPr>
            </w:pPr>
          </w:p>
        </w:tc>
        <w:tc>
          <w:tcPr>
            <w:tcW w:w="8511"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jc w:val="center"/>
              <w:rPr>
                <w:rFonts w:ascii="宋体" w:hAnsi="宋体"/>
                <w:b/>
                <w:color w:val="000000" w:themeColor="text1"/>
                <w:sz w:val="20"/>
                <w:szCs w:val="20"/>
              </w:rPr>
            </w:pPr>
          </w:p>
        </w:tc>
        <w:tc>
          <w:tcPr>
            <w:tcW w:w="8511"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pPr>
              <w:rPr>
                <w:rFonts w:ascii="宋体" w:hAnsi="宋体"/>
                <w:b/>
                <w:color w:val="000000" w:themeColor="text1"/>
                <w:szCs w:val="21"/>
              </w:rPr>
            </w:pPr>
          </w:p>
        </w:tc>
        <w:tc>
          <w:tcPr>
            <w:tcW w:w="8511"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130" w:type="dxa"/>
          </w:tcPr>
          <w:p>
            <w:pPr>
              <w:spacing w:line="0" w:lineRule="atLeast"/>
              <w:jc w:val="left"/>
              <w:rPr>
                <w:b/>
                <w:color w:val="FF0000"/>
                <w:sz w:val="20"/>
                <w:szCs w:val="20"/>
              </w:rPr>
            </w:pPr>
            <w:r>
              <w:rPr>
                <w:rFonts w:hint="eastAsia" w:ascii="宋体" w:hAnsi="宋体"/>
                <w:b/>
                <w:color w:val="000000" w:themeColor="text1"/>
                <w:sz w:val="20"/>
                <w:szCs w:val="20"/>
              </w:rPr>
              <w:t>环保设备、电子监控设备、护栏及配件、标识、标牌、钢结构件的销售</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spacing w:line="0" w:lineRule="atLeast"/>
              <w:jc w:val="left"/>
              <w:rPr>
                <w:rFonts w:hint="default"/>
                <w:color w:val="000000" w:themeColor="text1"/>
                <w:sz w:val="20"/>
                <w:szCs w:val="20"/>
              </w:rPr>
            </w:pPr>
            <w:r>
              <w:rPr>
                <w:rFonts w:hint="eastAsia" w:ascii="宋体" w:hAnsi="宋体"/>
                <w:b/>
                <w:color w:val="000000" w:themeColor="text1"/>
                <w:sz w:val="20"/>
                <w:szCs w:val="20"/>
              </w:rPr>
              <w:t>合同法、产品质量法、交通部行业标准JT/T281—2007《高速公路波形梁钢护栏》</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《地名标志标识标牌》GB17733-2008等和合同技术协议</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8</w:t>
      </w:r>
      <w:r>
        <w:rPr>
          <w:rFonts w:hint="eastAsia"/>
          <w:b/>
          <w:color w:val="000000" w:themeColor="text1"/>
          <w:spacing w:val="-10"/>
          <w:szCs w:val="21"/>
        </w:rPr>
        <w:t>月</w:t>
      </w:r>
      <w:bookmarkStart w:id="17" w:name="OLE_LINK1"/>
      <w:r>
        <w:rPr>
          <w:rFonts w:hint="eastAsia"/>
          <w:b/>
          <w:color w:val="000000" w:themeColor="text1"/>
          <w:spacing w:val="-10"/>
          <w:szCs w:val="21"/>
        </w:rPr>
        <w:t>1日</w:t>
      </w:r>
      <w:bookmarkEnd w:id="1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400" w:lineRule="exact"/>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质量第一  用户至上  持续改进   服务周到</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420" w:firstLineChars="200"/>
              <w:rPr>
                <w:rFonts w:ascii="宋体" w:hAnsi="宋体"/>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b/>
                <w:color w:val="000000" w:themeColor="text1"/>
                <w:sz w:val="20"/>
                <w:szCs w:val="20"/>
              </w:rPr>
            </w:pPr>
            <w:r>
              <w:rPr>
                <w:rFonts w:hint="eastAsia" w:ascii="宋体" w:hAnsi="宋体"/>
                <w:b/>
                <w:color w:val="000000" w:themeColor="text1"/>
                <w:sz w:val="20"/>
                <w:szCs w:val="20"/>
              </w:rPr>
              <w:t>质量管理体系过程有：环保设备、电子监控设备、护栏及配件、标识、标牌、钢结构件的销售</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color w:val="000000" w:themeColor="text1"/>
                <w:szCs w:val="21"/>
                <w:lang w:eastAsia="zh-CN"/>
              </w:rPr>
              <w:t>销售过程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销售过程</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olor w:val="000000" w:themeColor="text1"/>
              </w:rPr>
              <w:t>公司产品均按国家相关</w:t>
            </w:r>
            <w:r>
              <w:rPr>
                <w:rFonts w:hint="eastAsia" w:ascii="宋体" w:hAnsi="宋体"/>
                <w:color w:val="000000" w:themeColor="text1"/>
                <w:lang w:eastAsia="zh-CN"/>
              </w:rPr>
              <w:t>法律法规</w:t>
            </w:r>
            <w:r>
              <w:rPr>
                <w:rFonts w:hint="eastAsia" w:ascii="宋体" w:hAnsi="宋体"/>
                <w:color w:val="000000" w:themeColor="text1"/>
              </w:rPr>
              <w:t>以及客户要求进行</w:t>
            </w:r>
            <w:r>
              <w:rPr>
                <w:rFonts w:hint="eastAsia" w:ascii="宋体" w:hAnsi="宋体"/>
                <w:color w:val="000000" w:themeColor="text1"/>
                <w:lang w:eastAsia="zh-CN"/>
              </w:rPr>
              <w:t>销售</w:t>
            </w:r>
            <w:r>
              <w:rPr>
                <w:rFonts w:hint="eastAsia" w:ascii="宋体" w:hAnsi="宋体"/>
                <w:color w:val="000000" w:themeColor="text1"/>
              </w:rPr>
              <w:t>,</w:t>
            </w:r>
            <w:r>
              <w:rPr>
                <w:rFonts w:hint="eastAsia" w:ascii="宋体" w:hAnsi="宋体"/>
                <w:color w:val="000000" w:themeColor="text1"/>
                <w:lang w:eastAsia="zh-CN"/>
              </w:rPr>
              <w:t>整改销售过程为涉及设计新的服务内容，</w:t>
            </w:r>
            <w:r>
              <w:rPr>
                <w:rFonts w:hint="eastAsia" w:ascii="宋体" w:hAnsi="宋体"/>
                <w:color w:val="000000" w:themeColor="text1"/>
              </w:rPr>
              <w:t xml:space="preserve">故标准8.3设计和开发不适用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质量目标：</w:t>
            </w:r>
          </w:p>
          <w:p>
            <w:pPr>
              <w:spacing w:line="400" w:lineRule="exact"/>
              <w:rPr>
                <w:rFonts w:hint="eastAsia"/>
                <w:sz w:val="21"/>
                <w:szCs w:val="21"/>
              </w:rPr>
            </w:pPr>
            <w:r>
              <w:rPr>
                <w:rFonts w:hint="eastAsia"/>
                <w:sz w:val="21"/>
                <w:szCs w:val="21"/>
              </w:rPr>
              <w:t>a)销售产品合格率100%；</w:t>
            </w:r>
          </w:p>
          <w:p>
            <w:pPr>
              <w:spacing w:line="400" w:lineRule="exact"/>
              <w:rPr>
                <w:rFonts w:hint="eastAsia"/>
                <w:sz w:val="21"/>
                <w:szCs w:val="21"/>
              </w:rPr>
            </w:pPr>
            <w:r>
              <w:rPr>
                <w:rFonts w:hint="eastAsia"/>
                <w:sz w:val="21"/>
                <w:szCs w:val="21"/>
              </w:rPr>
              <w:t>b)产品按期交付率≥98%；</w:t>
            </w:r>
          </w:p>
          <w:p>
            <w:pPr>
              <w:spacing w:line="300" w:lineRule="exact"/>
              <w:rPr>
                <w:rFonts w:ascii="宋体" w:hAnsi="宋体"/>
                <w:b/>
                <w:color w:val="000000" w:themeColor="text1"/>
              </w:rPr>
            </w:pPr>
            <w:r>
              <w:rPr>
                <w:rFonts w:hint="eastAsia"/>
                <w:sz w:val="21"/>
                <w:szCs w:val="21"/>
              </w:rPr>
              <w:t>c)顾客满意率95分以上。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FF0000"/>
                <w:sz w:val="20"/>
                <w:szCs w:val="20"/>
              </w:rPr>
            </w:pPr>
            <w:r>
              <w:rPr>
                <w:rFonts w:hint="eastAsia" w:ascii="宋体" w:hAnsi="宋体" w:cs="宋体"/>
                <w:sz w:val="21"/>
                <w:szCs w:val="21"/>
              </w:rPr>
              <w:t>办公面积</w:t>
            </w:r>
            <w:r>
              <w:rPr>
                <w:rFonts w:hint="eastAsia" w:ascii="宋体" w:hAnsi="宋体" w:cs="宋体"/>
                <w:sz w:val="21"/>
                <w:szCs w:val="21"/>
                <w:lang w:val="en-US" w:eastAsia="zh-CN"/>
              </w:rPr>
              <w:t>2</w:t>
            </w:r>
            <w:r>
              <w:rPr>
                <w:rFonts w:hint="eastAsia" w:ascii="宋体" w:hAnsi="宋体" w:cs="宋体"/>
                <w:sz w:val="21"/>
                <w:szCs w:val="21"/>
              </w:rPr>
              <w:t>00平方</w:t>
            </w:r>
            <w:r>
              <w:rPr>
                <w:rFonts w:hint="eastAsia" w:ascii="宋体" w:hAnsi="宋体" w:cs="宋体"/>
                <w:sz w:val="21"/>
                <w:szCs w:val="21"/>
                <w:lang w:eastAsia="zh-CN"/>
              </w:rPr>
              <w:t>米</w:t>
            </w:r>
            <w:r>
              <w:rPr>
                <w:rFonts w:hint="eastAsia" w:ascii="宋体" w:hAnsi="宋体" w:cs="宋体"/>
                <w:sz w:val="21"/>
                <w:szCs w:val="21"/>
              </w:rPr>
              <w:t>左右</w:t>
            </w:r>
            <w:r>
              <w:rPr>
                <w:rFonts w:hint="eastAsia" w:ascii="宋体" w:hAnsi="宋体" w:cs="宋体"/>
                <w:sz w:val="21"/>
                <w:szCs w:val="21"/>
                <w:lang w:eastAsia="zh-CN"/>
              </w:rPr>
              <w:t>，含库房</w:t>
            </w:r>
            <w:r>
              <w:rPr>
                <w:rFonts w:hint="eastAsia" w:ascii="宋体" w:hAnsi="宋体" w:cs="宋体"/>
                <w:sz w:val="21"/>
                <w:szCs w:val="21"/>
                <w:lang w:val="en-US" w:eastAsia="zh-CN"/>
              </w:rPr>
              <w:t>60平房米</w:t>
            </w:r>
            <w:r>
              <w:rPr>
                <w:rFonts w:hint="eastAsia" w:ascii="宋体" w:hAnsi="宋体" w:cs="宋体"/>
                <w:sz w:val="21"/>
                <w:szCs w:val="21"/>
              </w:rPr>
              <w:t>，库房与</w:t>
            </w:r>
            <w:r>
              <w:rPr>
                <w:rFonts w:hint="eastAsia" w:ascii="宋体" w:hAnsi="宋体" w:cs="宋体"/>
                <w:sz w:val="21"/>
                <w:szCs w:val="21"/>
                <w:lang w:eastAsia="zh-CN"/>
              </w:rPr>
              <w:t>办公室</w:t>
            </w:r>
            <w:r>
              <w:rPr>
                <w:rFonts w:hint="eastAsia" w:ascii="宋体" w:hAnsi="宋体" w:cs="宋体"/>
                <w:sz w:val="21"/>
                <w:szCs w:val="21"/>
              </w:rPr>
              <w:t>分区</w:t>
            </w:r>
            <w:r>
              <w:rPr>
                <w:rFonts w:hint="eastAsia" w:ascii="宋体" w:hAnsi="宋体" w:cs="宋体"/>
                <w:sz w:val="21"/>
                <w:szCs w:val="21"/>
                <w:lang w:eastAsia="zh-CN"/>
              </w:rPr>
              <w:t>。</w:t>
            </w:r>
            <w:r>
              <w:rPr>
                <w:rFonts w:hint="eastAsia" w:ascii="宋体" w:hAnsi="宋体" w:cs="宋体"/>
                <w:sz w:val="21"/>
                <w:szCs w:val="21"/>
              </w:rPr>
              <w:t>主要生产设备包括：</w:t>
            </w:r>
            <w:r>
              <w:rPr>
                <w:rFonts w:hint="eastAsia" w:ascii="宋体" w:hAnsi="宋体" w:cs="宋体"/>
                <w:sz w:val="21"/>
                <w:szCs w:val="21"/>
                <w:lang w:eastAsia="zh-CN"/>
              </w:rPr>
              <w:t>电话、电脑、网络、办公设备等</w:t>
            </w:r>
            <w:r>
              <w:rPr>
                <w:rFonts w:hint="eastAsia" w:ascii="宋体" w:hAnsi="宋体" w:cs="宋体"/>
                <w:sz w:val="21"/>
                <w:szCs w:val="21"/>
              </w:rPr>
              <w:t>，可以满足</w:t>
            </w:r>
            <w:r>
              <w:rPr>
                <w:rFonts w:hint="eastAsia" w:ascii="宋体" w:hAnsi="宋体" w:cs="宋体"/>
                <w:sz w:val="21"/>
                <w:szCs w:val="21"/>
                <w:lang w:eastAsia="zh-CN"/>
              </w:rPr>
              <w:t>销售经营的</w:t>
            </w:r>
            <w:r>
              <w:rPr>
                <w:rFonts w:hint="eastAsia" w:ascii="宋体" w:hAnsi="宋体" w:cs="宋体"/>
                <w:sz w:val="21"/>
                <w:szCs w:val="21"/>
              </w:rPr>
              <w:t>需要。对设备按月方式进行点检维护保养，并实施。特种设备：</w:t>
            </w:r>
            <w:r>
              <w:rPr>
                <w:rFonts w:hint="eastAsia" w:ascii="宋体" w:hAnsi="宋体" w:cs="宋体"/>
                <w:sz w:val="21"/>
                <w:szCs w:val="21"/>
                <w:lang w:eastAsia="zh-CN"/>
              </w:rPr>
              <w:t>无</w:t>
            </w:r>
            <w:r>
              <w:rPr>
                <w:rFonts w:hint="eastAsia" w:ascii="宋体" w:hAnsi="宋体" w:cs="宋体"/>
                <w:sz w:val="21"/>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综合</w:t>
            </w:r>
            <w:r>
              <w:rPr>
                <w:rFonts w:hint="eastAsia" w:ascii="宋体" w:hAnsi="宋体" w:cs="宋体"/>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FF0000"/>
                <w:sz w:val="20"/>
                <w:szCs w:val="20"/>
              </w:rPr>
            </w:pPr>
            <w:r>
              <w:rPr>
                <w:rFonts w:hint="eastAsia" w:ascii="宋体" w:hAnsi="宋体" w:eastAsia="宋体" w:cs="宋体"/>
                <w:color w:val="000000"/>
                <w:sz w:val="21"/>
                <w:szCs w:val="21"/>
              </w:rPr>
              <w:t>公司只对</w:t>
            </w:r>
            <w:r>
              <w:rPr>
                <w:rFonts w:hint="eastAsia" w:ascii="宋体" w:hAnsi="宋体" w:eastAsia="宋体" w:cs="宋体"/>
                <w:color w:val="000000"/>
                <w:sz w:val="21"/>
                <w:szCs w:val="21"/>
                <w:lang w:eastAsia="zh-CN"/>
              </w:rPr>
              <w:t>产品</w:t>
            </w:r>
            <w:r>
              <w:rPr>
                <w:rFonts w:hint="eastAsia" w:ascii="宋体" w:hAnsi="宋体" w:eastAsia="宋体" w:cs="宋体"/>
                <w:color w:val="000000"/>
                <w:sz w:val="21"/>
                <w:szCs w:val="21"/>
              </w:rPr>
              <w:t>名称、规格型号、外观、质量证明</w:t>
            </w:r>
            <w:r>
              <w:rPr>
                <w:rFonts w:hint="eastAsia" w:ascii="宋体" w:hAnsi="宋体" w:eastAsia="宋体" w:cs="宋体"/>
                <w:color w:val="000000"/>
                <w:sz w:val="21"/>
                <w:szCs w:val="21"/>
                <w:lang w:eastAsia="zh-CN"/>
              </w:rPr>
              <w:t>性文件</w:t>
            </w:r>
            <w:r>
              <w:rPr>
                <w:rFonts w:hint="eastAsia" w:ascii="宋体" w:hAnsi="宋体" w:eastAsia="宋体" w:cs="宋体"/>
                <w:color w:val="000000"/>
                <w:sz w:val="21"/>
                <w:szCs w:val="21"/>
              </w:rPr>
              <w:t>等进行验证</w:t>
            </w:r>
            <w:r>
              <w:rPr>
                <w:rFonts w:hint="eastAsia" w:ascii="宋体" w:hAnsi="宋体" w:eastAsia="宋体" w:cs="宋体"/>
                <w:color w:val="000000"/>
                <w:sz w:val="21"/>
                <w:szCs w:val="21"/>
                <w:lang w:eastAsia="zh-CN"/>
              </w:rPr>
              <w:t>；质量技术特性检测由供方提供，故公司无</w:t>
            </w:r>
            <w:r>
              <w:rPr>
                <w:rFonts w:hint="eastAsia" w:ascii="宋体" w:hAnsi="宋体" w:eastAsia="宋体" w:cs="宋体"/>
                <w:color w:val="000000"/>
                <w:sz w:val="21"/>
                <w:szCs w:val="21"/>
              </w:rPr>
              <w:t>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ascii="宋体" w:hAnsi="宋体" w:cs="宋体"/>
                <w:color w:val="000000"/>
                <w:szCs w:val="21"/>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w:t>
            </w:r>
            <w:r>
              <w:rPr>
                <w:rFonts w:hint="eastAsia" w:ascii="宋体" w:hAnsi="宋体" w:cs="宋体"/>
                <w:color w:val="000000" w:themeColor="text1"/>
                <w:szCs w:val="21"/>
              </w:rPr>
              <w:t>和</w:t>
            </w:r>
            <w:r>
              <w:rPr>
                <w:rFonts w:hint="eastAsia" w:ascii="宋体" w:hAnsi="宋体" w:cs="宋体"/>
                <w:color w:val="000000"/>
                <w:szCs w:val="21"/>
              </w:rPr>
              <w:t>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8</w:t>
            </w: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Cs w:val="21"/>
                <w:lang w:val="en-US" w:eastAsia="zh-CN"/>
              </w:rPr>
              <w:t>11</w:t>
            </w:r>
            <w:r>
              <w:rPr>
                <w:rFonts w:hint="eastAsia" w:ascii="宋体" w:hAnsi="宋体" w:cs="宋体"/>
                <w:color w:val="000000"/>
                <w:szCs w:val="21"/>
              </w:rPr>
              <w:t>月实施，满意度评价9</w:t>
            </w:r>
            <w:r>
              <w:rPr>
                <w:rFonts w:hint="eastAsia" w:ascii="宋体" w:hAnsi="宋体" w:cs="宋体"/>
                <w:color w:val="000000"/>
                <w:szCs w:val="21"/>
                <w:lang w:val="en-US" w:eastAsia="zh-CN"/>
              </w:rPr>
              <w:t>8分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600" w:lineRule="exact"/>
              <w:jc w:val="both"/>
              <w:rPr>
                <w:b/>
                <w:color w:val="FF0000"/>
                <w:sz w:val="20"/>
                <w:szCs w:val="20"/>
              </w:rPr>
            </w:pPr>
            <w:r>
              <w:rPr>
                <w:rFonts w:hint="eastAsia" w:ascii="宋体" w:hAnsi="宋体" w:cs="宋体"/>
                <w:szCs w:val="21"/>
              </w:rPr>
              <w:t>建立有《内部审核控制程序》，规定了内审频次一年一次，内审时间：</w:t>
            </w:r>
            <w:r>
              <w:rPr>
                <w:rFonts w:hint="eastAsia"/>
                <w:sz w:val="21"/>
                <w:szCs w:val="21"/>
                <w:lang w:val="en-US" w:eastAsia="zh-CN"/>
              </w:rPr>
              <w:t>2019年11</w:t>
            </w:r>
            <w:r>
              <w:rPr>
                <w:rFonts w:hint="eastAsia"/>
                <w:sz w:val="21"/>
                <w:szCs w:val="21"/>
              </w:rPr>
              <w:t>月</w:t>
            </w:r>
            <w:r>
              <w:rPr>
                <w:rFonts w:hint="eastAsia"/>
                <w:sz w:val="21"/>
                <w:szCs w:val="21"/>
                <w:lang w:val="en-US" w:eastAsia="zh-CN"/>
              </w:rPr>
              <w:t>15</w:t>
            </w:r>
            <w:r>
              <w:rPr>
                <w:rFonts w:hint="eastAsia"/>
                <w:sz w:val="21"/>
                <w:szCs w:val="21"/>
              </w:rPr>
              <w:t>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sz w:val="21"/>
                <w:szCs w:val="21"/>
                <w:lang w:eastAsia="zh-CN"/>
              </w:rPr>
              <w:t>涉及业务部</w:t>
            </w:r>
            <w:r>
              <w:rPr>
                <w:rFonts w:hint="eastAsia"/>
                <w:sz w:val="21"/>
                <w:szCs w:val="21"/>
                <w:lang w:val="en-US" w:eastAsia="zh-CN"/>
              </w:rPr>
              <w:t>9.1.2条款“</w:t>
            </w:r>
            <w:r>
              <w:rPr>
                <w:rFonts w:hint="eastAsia"/>
                <w:sz w:val="21"/>
                <w:szCs w:val="21"/>
                <w:lang w:eastAsia="zh-CN"/>
              </w:rPr>
              <w:t>未能提供对满意度进行分析评价的证据。</w:t>
            </w:r>
            <w:r>
              <w:rPr>
                <w:rFonts w:hint="eastAsia"/>
                <w:sz w:val="21"/>
                <w:szCs w:val="21"/>
                <w:lang w:val="en-US" w:eastAsia="zh-CN"/>
              </w:rPr>
              <w:t>”</w:t>
            </w:r>
            <w:r>
              <w:rPr>
                <w:rFonts w:hint="eastAsia"/>
                <w:sz w:val="21"/>
                <w:szCs w:val="21"/>
                <w:lang w:eastAsia="zh-CN"/>
              </w:rPr>
              <w:t>。</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both"/>
              <w:rPr>
                <w:b/>
                <w:color w:val="000000" w:themeColor="text1"/>
                <w:sz w:val="20"/>
                <w:szCs w:val="20"/>
              </w:rPr>
            </w:pPr>
            <w:r>
              <w:rPr>
                <w:rFonts w:hint="eastAsia" w:ascii="宋体" w:hAnsi="宋体" w:cs="宋体"/>
                <w:szCs w:val="21"/>
              </w:rPr>
              <w:t>管理评审频次为一年一次、本次管理评审于2019.</w:t>
            </w:r>
            <w:r>
              <w:rPr>
                <w:rFonts w:hint="eastAsia" w:ascii="宋体" w:hAnsi="宋体" w:cs="宋体"/>
                <w:szCs w:val="21"/>
                <w:lang w:val="en-US" w:eastAsia="zh-CN"/>
              </w:rPr>
              <w:t>11.28</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3. 一阶段提出问题的整改情况?</w:t>
            </w:r>
          </w:p>
          <w:p>
            <w:pPr>
              <w:spacing w:line="240" w:lineRule="exact"/>
              <w:rPr>
                <w:rFonts w:hint="default" w:eastAsia="宋体"/>
                <w:b/>
                <w:color w:val="FF0000"/>
                <w:spacing w:val="-20"/>
                <w:sz w:val="20"/>
                <w:szCs w:val="20"/>
                <w:lang w:val="en-US" w:eastAsia="zh-CN"/>
              </w:rPr>
            </w:pPr>
            <w:r>
              <w:rPr>
                <w:rFonts w:hint="eastAsia"/>
                <w:b/>
                <w:color w:val="000000" w:themeColor="text1"/>
                <w:spacing w:val="-20"/>
                <w:sz w:val="20"/>
                <w:szCs w:val="20"/>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1. 本次审核共开具Q不符合项报告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14:textFill>
            <w14:solidFill>
              <w14:schemeClr w14:val="tx1"/>
            </w14:solidFill>
          </w14:textFill>
        </w:rPr>
        <w:t xml:space="preserve">严重不符合 0 项，一般不符合 </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 xml:space="preserve">项，观察项 </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lang w:eastAsia="zh-CN"/>
          <w14:textFill>
            <w14:solidFill>
              <w14:schemeClr w14:val="tx1"/>
            </w14:solidFill>
          </w14:textFill>
        </w:rPr>
        <w:t>综合部</w:t>
      </w:r>
      <w:r>
        <w:rPr>
          <w:rFonts w:hint="eastAsia"/>
          <w:b/>
          <w:color w:val="000000" w:themeColor="text1"/>
          <w14:textFill>
            <w14:solidFill>
              <w14:schemeClr w14:val="tx1"/>
            </w14:solidFill>
          </w14:textFill>
        </w:rPr>
        <w:t>部门条款</w:t>
      </w:r>
      <w:r>
        <w:rPr>
          <w:rFonts w:hint="eastAsia"/>
          <w:b/>
          <w:color w:val="000000" w:themeColor="text1"/>
          <w:lang w:val="en-US" w:eastAsia="zh-CN"/>
          <w14:textFill>
            <w14:solidFill>
              <w14:schemeClr w14:val="tx1"/>
            </w14:solidFill>
          </w14:textFill>
        </w:rPr>
        <w:t>8.5.1f</w:t>
      </w:r>
      <w:r>
        <w:rPr>
          <w:rFonts w:hint="eastAsia"/>
          <w:b/>
          <w:color w:val="000000" w:themeColor="text1"/>
          <w14:textFill>
            <w14:solidFill>
              <w14:schemeClr w14:val="tx1"/>
            </w14:solidFill>
          </w14:textFill>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0" w:lineRule="atLeast"/>
              <w:jc w:val="left"/>
              <w:rPr>
                <w:rFonts w:ascii="宋体" w:hAnsi="宋体"/>
                <w:b/>
                <w:color w:val="000000" w:themeColor="text1"/>
              </w:rPr>
            </w:pPr>
            <w:r>
              <w:rPr>
                <w:rFonts w:ascii="宋体" w:hAnsi="宋体"/>
                <w:b/>
                <w:color w:val="000000" w:themeColor="text1"/>
              </w:rPr>
              <w:t>QMS:</w:t>
            </w:r>
            <w:r>
              <w:rPr>
                <w:rFonts w:hint="eastAsia" w:ascii="宋体" w:hAnsi="宋体"/>
                <w:b/>
                <w:color w:val="000000" w:themeColor="text1"/>
              </w:rPr>
              <w:t xml:space="preserve"> 环保设备、电子监控设备、护栏及配件、标识、标牌、钢结构件的销售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Lines="50"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Lines="50"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18</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rFonts w:hint="eastAsia"/>
          <w:b/>
          <w:bCs/>
          <w:color w:val="000000" w:themeColor="text1"/>
          <w:szCs w:val="21"/>
          <w14:textFill>
            <w14:solidFill>
              <w14:schemeClr w14:val="tx1"/>
            </w14:solidFill>
          </w14:textFill>
        </w:rPr>
      </w:pPr>
      <w:bookmarkStart w:id="19" w:name="_GoBack"/>
      <w:r>
        <w:rPr>
          <w:rFonts w:hint="eastAsia"/>
          <w:b/>
          <w:bCs/>
          <w:color w:val="000000" w:themeColor="text1"/>
          <w:szCs w:val="21"/>
          <w14:textFill>
            <w14:solidFill>
              <w14:schemeClr w14:val="tx1"/>
            </w14:solidFill>
          </w14:textFill>
        </w:rPr>
        <w:t xml:space="preserve">1.  审核中发现的☑QMS( </w:t>
      </w:r>
      <w:r>
        <w:rPr>
          <w:rFonts w:hint="eastAsia"/>
          <w:b/>
          <w:bCs/>
          <w:color w:val="000000" w:themeColor="text1"/>
          <w:szCs w:val="21"/>
          <w:lang w:val="en-US" w:eastAsia="zh-CN"/>
          <w14:textFill>
            <w14:solidFill>
              <w14:schemeClr w14:val="tx1"/>
            </w14:solidFill>
          </w14:textFill>
        </w:rPr>
        <w:t>1</w:t>
      </w:r>
      <w:r>
        <w:rPr>
          <w:rFonts w:hint="eastAsia"/>
          <w:b/>
          <w:bCs/>
          <w:color w:val="000000" w:themeColor="text1"/>
          <w:szCs w:val="21"/>
          <w14:textFill>
            <w14:solidFill>
              <w14:schemeClr w14:val="tx1"/>
            </w14:solidFill>
          </w14:textFill>
        </w:rPr>
        <w:t>)个一般不符合，( 0 )个严重不符合，</w:t>
      </w:r>
      <w:r>
        <w:rPr>
          <w:rFonts w:hint="eastAsia"/>
          <w:b/>
          <w:bCs/>
          <w:color w:val="000000" w:themeColor="text1"/>
          <w:szCs w:val="21"/>
          <w:lang w:eastAsia="zh-CN"/>
          <w14:textFill>
            <w14:solidFill>
              <w14:schemeClr w14:val="tx1"/>
            </w14:solidFill>
          </w14:textFill>
        </w:rPr>
        <w:t>□</w:t>
      </w:r>
      <w:r>
        <w:rPr>
          <w:rFonts w:hint="eastAsia"/>
          <w:b/>
          <w:bCs/>
          <w:color w:val="000000" w:themeColor="text1"/>
          <w:szCs w:val="21"/>
          <w14:textFill>
            <w14:solidFill>
              <w14:schemeClr w14:val="tx1"/>
            </w14:solidFill>
          </w14:textFill>
        </w:rPr>
        <w:t>验证合格□仍有问题</w:t>
      </w:r>
    </w:p>
    <w:bookmarkEnd w:id="19"/>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70E60"/>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60193"/>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63D1F"/>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6F27F2D"/>
    <w:rsid w:val="07A84CB2"/>
    <w:rsid w:val="08EB51D6"/>
    <w:rsid w:val="0AE52265"/>
    <w:rsid w:val="0CC7527B"/>
    <w:rsid w:val="0D904130"/>
    <w:rsid w:val="0EB36807"/>
    <w:rsid w:val="0FB74A65"/>
    <w:rsid w:val="10E854AA"/>
    <w:rsid w:val="1198680D"/>
    <w:rsid w:val="14DB0987"/>
    <w:rsid w:val="1ABB01D3"/>
    <w:rsid w:val="1ACD62B8"/>
    <w:rsid w:val="1B4F1B57"/>
    <w:rsid w:val="1C440198"/>
    <w:rsid w:val="1C5F0C83"/>
    <w:rsid w:val="1DCB178B"/>
    <w:rsid w:val="1F520E03"/>
    <w:rsid w:val="21611269"/>
    <w:rsid w:val="241F1A7F"/>
    <w:rsid w:val="25243589"/>
    <w:rsid w:val="25CD1223"/>
    <w:rsid w:val="295B014A"/>
    <w:rsid w:val="2D661B74"/>
    <w:rsid w:val="320D718E"/>
    <w:rsid w:val="32C1463B"/>
    <w:rsid w:val="33C25AF9"/>
    <w:rsid w:val="3498286F"/>
    <w:rsid w:val="36EC7F03"/>
    <w:rsid w:val="385A3A21"/>
    <w:rsid w:val="3C191EA6"/>
    <w:rsid w:val="3C6210A8"/>
    <w:rsid w:val="3D790702"/>
    <w:rsid w:val="401450D1"/>
    <w:rsid w:val="4292115D"/>
    <w:rsid w:val="432329ED"/>
    <w:rsid w:val="455B7DE8"/>
    <w:rsid w:val="469452FC"/>
    <w:rsid w:val="48212822"/>
    <w:rsid w:val="49C82B1C"/>
    <w:rsid w:val="49FA7342"/>
    <w:rsid w:val="4B4A3A22"/>
    <w:rsid w:val="4C494173"/>
    <w:rsid w:val="51582CCA"/>
    <w:rsid w:val="557224E2"/>
    <w:rsid w:val="574B7BF2"/>
    <w:rsid w:val="5C0F099A"/>
    <w:rsid w:val="5CDD1C2D"/>
    <w:rsid w:val="5F1038E3"/>
    <w:rsid w:val="61A2120B"/>
    <w:rsid w:val="63E122A7"/>
    <w:rsid w:val="648C6F09"/>
    <w:rsid w:val="653F2CB5"/>
    <w:rsid w:val="673B259B"/>
    <w:rsid w:val="6A1418BC"/>
    <w:rsid w:val="6F5B59DC"/>
    <w:rsid w:val="73226B9D"/>
    <w:rsid w:val="748B158D"/>
    <w:rsid w:val="780960F1"/>
    <w:rsid w:val="780F0F53"/>
    <w:rsid w:val="782A349F"/>
    <w:rsid w:val="7A245681"/>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0"/>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1347</Words>
  <Characters>7678</Characters>
  <Lines>63</Lines>
  <Paragraphs>18</Paragraphs>
  <TotalTime>2</TotalTime>
  <ScaleCrop>false</ScaleCrop>
  <LinksUpToDate>false</LinksUpToDate>
  <CharactersWithSpaces>9007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2019-12-17T05:57:40Z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