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河北泓林餐饮管理有限公司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总经理室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吉洁、杨园、周文廷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确定采购单—采购—验收入库—领用—饭菜加工—留样—提供就餐环境—清洗与保洁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烹制过程，材料配比、温度、时间。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食品安全法、食品安全国家标准 食品生产通用卫生规范、食品添加剂使用标准、食品接触材料及制品通用安全要求、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"http://std.samr.gov.cn/db/search/stdDBDetailed?id=91D99E4D56EC2E24E05397BE0A0A3A10" \t "http://std.samr.gov.cn/search/_blank"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  <w:t>DB13/T 2434-2016  高等学校学生食堂服务规范</w:t>
            </w:r>
            <w:r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色泽、味道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80645</wp:posOffset>
                  </wp:positionV>
                  <wp:extent cx="635000" cy="514350"/>
                  <wp:effectExtent l="0" t="0" r="0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u w:val="single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185420</wp:posOffset>
                  </wp:positionV>
                  <wp:extent cx="946785" cy="455930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7BA3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2022-05-04T03:02:23Z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