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0521-2019-QE-2022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四川乐犍再生资源回收利用有限公司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四川乐犍再生资源回收利用有限公司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犍为县石溪镇石马村二组187号（石马坝中小企业孵化园内）</w:t>
            </w:r>
            <w:bookmarkEnd w:id="6"/>
          </w:p>
        </w:tc>
        <w:tc>
          <w:tcPr>
            <w:tcW w:w="1242" w:type="dxa"/>
            <w:vMerge w:val="restart"/>
            <w:vAlign w:val="center"/>
          </w:tcPr>
          <w:p>
            <w:r>
              <w:rPr>
                <w:rFonts w:hint="eastAsia"/>
              </w:rPr>
              <w:t>邮编</w:t>
            </w:r>
          </w:p>
        </w:tc>
        <w:tc>
          <w:tcPr>
            <w:tcW w:w="1771" w:type="dxa"/>
          </w:tcPr>
          <w:p>
            <w:bookmarkStart w:id="7" w:name="注册邮编"/>
            <w:r>
              <w:t>614400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犍为县石溪镇石马村二组187号（石马坝中小企业孵化园内）</w:t>
            </w:r>
            <w:bookmarkEnd w:id="8"/>
          </w:p>
        </w:tc>
        <w:tc>
          <w:tcPr>
            <w:tcW w:w="1242" w:type="dxa"/>
            <w:vMerge w:val="continue"/>
            <w:vAlign w:val="center"/>
          </w:tcPr>
          <w:p/>
        </w:tc>
        <w:tc>
          <w:tcPr>
            <w:tcW w:w="1771" w:type="dxa"/>
          </w:tcPr>
          <w:p>
            <w:bookmarkStart w:id="9" w:name="办公邮编"/>
            <w:r>
              <w:t>614400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雷芳蓉</w:t>
            </w:r>
            <w:bookmarkEnd w:id="10"/>
          </w:p>
        </w:tc>
        <w:tc>
          <w:tcPr>
            <w:tcW w:w="1313" w:type="dxa"/>
            <w:vAlign w:val="center"/>
          </w:tcPr>
          <w:p>
            <w:r>
              <w:rPr>
                <w:rFonts w:hint="eastAsia"/>
              </w:rPr>
              <w:t>电话.</w:t>
            </w:r>
          </w:p>
        </w:tc>
        <w:tc>
          <w:tcPr>
            <w:tcW w:w="2180" w:type="dxa"/>
            <w:vAlign w:val="center"/>
          </w:tcPr>
          <w:p>
            <w:bookmarkStart w:id="11" w:name="联系人电话"/>
            <w:r>
              <w:t>0833-4171900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李德元</w:t>
            </w:r>
            <w:bookmarkEnd w:id="13"/>
          </w:p>
        </w:tc>
        <w:tc>
          <w:tcPr>
            <w:tcW w:w="1313" w:type="dxa"/>
            <w:vAlign w:val="center"/>
          </w:tcPr>
          <w:p>
            <w:r>
              <w:rPr>
                <w:rFonts w:hint="eastAsia"/>
              </w:rPr>
              <w:t>管理者代表</w:t>
            </w:r>
          </w:p>
        </w:tc>
        <w:tc>
          <w:tcPr>
            <w:tcW w:w="2180" w:type="dxa"/>
          </w:tcPr>
          <w:p>
            <w:bookmarkStart w:id="14" w:name="管理者代表"/>
            <w:r>
              <w:t>陈海燕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rPr>
              <w:t>原材料（废旧塑料）—分选—清洗—破碎—熔融挤塑—切粒—入库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2022年04月28日 上午至2022年04月28日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犍为县石溪镇石马村二组187号（石马坝中小企业孵化园内）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Q：再生塑料颗粒的加工</w:t>
            </w:r>
          </w:p>
          <w:p>
            <w:r>
              <w:t>E：再生塑料颗粒的加工所涉及相关环境管理活动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Q：12.01.06</w:t>
            </w:r>
          </w:p>
          <w:p>
            <w:r>
              <w:t>E：12.01.06</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2019年5月10日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2021年05月14日 上午至2021年05月14日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9</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964"/>
        <w:gridCol w:w="15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964" w:type="dxa"/>
            <w:shd w:val="clear" w:color="auto" w:fill="F3F3F3"/>
            <w:tcMar>
              <w:left w:w="57" w:type="dxa"/>
              <w:right w:w="57" w:type="dxa"/>
            </w:tcMar>
          </w:tcPr>
          <w:p>
            <w:r>
              <w:rPr>
                <w:rFonts w:hint="eastAsia"/>
              </w:rPr>
              <w:t>审核范围（产品和过程）</w:t>
            </w:r>
          </w:p>
          <w:p/>
          <w:p/>
        </w:tc>
        <w:tc>
          <w:tcPr>
            <w:tcW w:w="150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cs="Times New Roman" w:asciiTheme="minorEastAsia" w:hAnsiTheme="minorEastAsia" w:eastAsiaTheme="minorEastAsia"/>
                <w:sz w:val="20"/>
                <w:lang w:val="en-US" w:eastAsia="zh-CN"/>
              </w:rPr>
            </w:pPr>
            <w:r>
              <w:rPr>
                <w:rFonts w:hint="eastAsia" w:cs="Times New Roman" w:asciiTheme="minorEastAsia" w:hAnsiTheme="minorEastAsia" w:eastAsiaTheme="minorEastAsia"/>
                <w:sz w:val="20"/>
                <w:lang w:val="de-DE" w:eastAsia="ja-JP"/>
              </w:rPr>
              <w:t>四川乐犍再生资源回收利用有限公司</w:t>
            </w:r>
            <w:r>
              <w:rPr>
                <w:rFonts w:hint="eastAsia" w:cs="Times New Roman" w:asciiTheme="minorEastAsia" w:hAnsiTheme="minorEastAsia" w:eastAsiaTheme="minorEastAsia"/>
                <w:sz w:val="20"/>
                <w:lang w:val="en-US" w:eastAsia="zh-CN"/>
              </w:rPr>
              <w:t>/</w:t>
            </w:r>
            <w:r>
              <w:rPr>
                <w:rFonts w:cs="Times New Roman" w:asciiTheme="minorEastAsia" w:hAnsiTheme="minorEastAsia" w:eastAsiaTheme="minorEastAsia"/>
                <w:sz w:val="20"/>
              </w:rPr>
              <w:t>犍为县石溪镇石马村二组187号（石马坝中小企业孵化园内）</w:t>
            </w:r>
          </w:p>
        </w:tc>
        <w:tc>
          <w:tcPr>
            <w:tcW w:w="2267" w:type="dxa"/>
          </w:tcPr>
          <w:p>
            <w:pPr>
              <w:rPr>
                <w:rFonts w:cs="Times New Roman" w:asciiTheme="minorEastAsia" w:hAnsiTheme="minorEastAsia" w:eastAsiaTheme="minorEastAsia"/>
                <w:sz w:val="20"/>
                <w:lang w:val="de-DE" w:eastAsia="ja-JP"/>
              </w:rPr>
            </w:pPr>
            <w:r>
              <w:rPr>
                <w:rFonts w:cs="Times New Roman" w:asciiTheme="minorEastAsia" w:hAnsiTheme="minorEastAsia" w:eastAsiaTheme="minorEastAsia"/>
                <w:sz w:val="20"/>
              </w:rPr>
              <w:t>犍为县石溪镇石马村二组187号（石马坝中小企业孵化园内）</w:t>
            </w:r>
          </w:p>
        </w:tc>
        <w:tc>
          <w:tcPr>
            <w:tcW w:w="571" w:type="dxa"/>
            <w:vAlign w:val="center"/>
          </w:tcPr>
          <w:p>
            <w:pPr>
              <w:rPr>
                <w:rFonts w:hint="default" w:eastAsia="宋体"/>
                <w:lang w:val="en-US" w:eastAsia="zh-CN"/>
              </w:rPr>
            </w:pPr>
            <w:r>
              <w:rPr>
                <w:rFonts w:hint="eastAsia"/>
                <w:lang w:val="en-US" w:eastAsia="zh-CN"/>
              </w:rPr>
              <w:t>25</w:t>
            </w:r>
          </w:p>
        </w:tc>
        <w:tc>
          <w:tcPr>
            <w:tcW w:w="1964" w:type="dxa"/>
            <w:vAlign w:val="center"/>
          </w:tcPr>
          <w:p>
            <w:pPr>
              <w:rPr>
                <w:lang w:eastAsia="ja-JP"/>
              </w:rPr>
            </w:pPr>
            <w:r>
              <w:rPr>
                <w:sz w:val="20"/>
              </w:rPr>
              <w:t>再生塑料颗粒的加工</w:t>
            </w:r>
          </w:p>
        </w:tc>
        <w:tc>
          <w:tcPr>
            <w:tcW w:w="1508" w:type="dxa"/>
            <w:vAlign w:val="center"/>
          </w:tcPr>
          <w:p>
            <w:pPr>
              <w:rPr>
                <w:rFonts w:hint="eastAsia" w:eastAsia="宋体"/>
                <w:lang w:val="en-US" w:eastAsia="zh-CN"/>
              </w:rPr>
            </w:pPr>
            <w:r>
              <w:rPr>
                <w:rFonts w:hint="eastAsia" w:cs="Times New Roman" w:asciiTheme="minorEastAsia" w:hAnsiTheme="minorEastAsia" w:eastAsiaTheme="minorEastAsia"/>
                <w:sz w:val="20"/>
              </w:rPr>
              <w:t>ISO9001:2015</w:t>
            </w:r>
            <w:r>
              <w:rPr>
                <w:rFonts w:hint="eastAsia" w:cs="Times New Roman" w:asciiTheme="minorEastAsia" w:hAnsiTheme="minorEastAsia" w:eastAsiaTheme="minorEastAsia"/>
                <w:sz w:val="20"/>
                <w:lang w:val="en-US" w:eastAsia="zh-CN"/>
              </w:rPr>
              <w:t>/ISO14001:2015</w:t>
            </w:r>
          </w:p>
        </w:tc>
        <w:tc>
          <w:tcPr>
            <w:tcW w:w="668" w:type="dxa"/>
            <w:shd w:val="clear" w:color="auto" w:fill="FFFFFF"/>
          </w:tcPr>
          <w:p>
            <w:r>
              <w:rPr>
                <w:rFonts w:hint="eastAsia" w:ascii="黑体" w:hAnsi="黑体" w:eastAsia="黑体" w:cs="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964" w:type="dxa"/>
            <w:vAlign w:val="center"/>
          </w:tcPr>
          <w:p>
            <w:pPr>
              <w:rPr>
                <w:lang w:eastAsia="ja-JP"/>
              </w:rPr>
            </w:pPr>
          </w:p>
        </w:tc>
        <w:tc>
          <w:tcPr>
            <w:tcW w:w="150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组长</w:t>
            </w:r>
          </w:p>
        </w:tc>
        <w:tc>
          <w:tcPr>
            <w:tcW w:w="711" w:type="dxa"/>
            <w:vAlign w:val="center"/>
          </w:tcPr>
          <w:p>
            <w:r>
              <w:t>男</w:t>
            </w:r>
          </w:p>
        </w:tc>
        <w:tc>
          <w:tcPr>
            <w:tcW w:w="3870" w:type="dxa"/>
            <w:vAlign w:val="center"/>
          </w:tcPr>
          <w:p>
            <w:r>
              <w:t>2020-N1QMS-1265256</w:t>
            </w:r>
          </w:p>
          <w:p>
            <w:r>
              <w:t>2021-N1EMS-1265256</w:t>
            </w:r>
          </w:p>
        </w:tc>
        <w:tc>
          <w:tcPr>
            <w:tcW w:w="2179" w:type="dxa"/>
            <w:vAlign w:val="center"/>
          </w:tcPr>
          <w:p>
            <w:r>
              <w:t>Q:12.01.06</w:t>
            </w:r>
          </w:p>
          <w:p>
            <w:r>
              <w:t>E:12.01.06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lang w:eastAsia="zh-CN"/>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再生塑料颗粒的加工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再生塑料颗粒的加工所涉及相关环境管理活动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anchor distT="0" distB="0" distL="114300" distR="114300" simplePos="0" relativeHeight="251662336" behindDoc="0" locked="0" layoutInCell="1" allowOverlap="1">
                  <wp:simplePos x="0" y="0"/>
                  <wp:positionH relativeFrom="column">
                    <wp:posOffset>311785</wp:posOffset>
                  </wp:positionH>
                  <wp:positionV relativeFrom="paragraph">
                    <wp:posOffset>55245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val="0"/>
                <w:bCs/>
                <w:color w:val="000000" w:themeColor="text1"/>
                <w:szCs w:val="21"/>
                <w:lang w:val="en-US" w:eastAsia="zh-CN"/>
              </w:rPr>
              <w:t>2022.4.28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最高管理者制定了文件化的管理体系方针：信守经营，质量至上；持续改进，用户满意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3000"/>
              <w:gridCol w:w="1155"/>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00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15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48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过程产品质量合格率≥99.5%</w:t>
                  </w:r>
                </w:p>
              </w:tc>
              <w:tc>
                <w:tcPr>
                  <w:tcW w:w="300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GB" w:eastAsia="zh-CN"/>
                    </w:rPr>
                    <w:t>合格数量</w:t>
                  </w:r>
                  <w:r>
                    <w:rPr>
                      <w:rFonts w:hint="eastAsia" w:ascii="宋体" w:hAnsi="宋体" w:eastAsia="宋体" w:cs="Times New Roman"/>
                      <w:lang w:val="en-US" w:eastAsia="zh-CN"/>
                    </w:rPr>
                    <w:t>/产品总数*100%</w:t>
                  </w:r>
                </w:p>
              </w:tc>
              <w:tc>
                <w:tcPr>
                  <w:tcW w:w="1155"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GB" w:eastAsia="zh-CN"/>
                    </w:rPr>
                    <w:t>技术部</w:t>
                  </w:r>
                </w:p>
              </w:tc>
              <w:tc>
                <w:tcPr>
                  <w:tcW w:w="1489"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合同履约率100%</w:t>
                  </w:r>
                </w:p>
              </w:tc>
              <w:tc>
                <w:tcPr>
                  <w:tcW w:w="300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履约合同数</w:t>
                  </w:r>
                  <w:r>
                    <w:rPr>
                      <w:rFonts w:hint="eastAsia" w:ascii="宋体" w:hAnsi="宋体" w:eastAsia="宋体" w:cs="Times New Roman"/>
                      <w:lang w:val="en-US" w:eastAsia="zh-CN"/>
                    </w:rPr>
                    <w:t>/签订合同总数*100%</w:t>
                  </w:r>
                </w:p>
              </w:tc>
              <w:tc>
                <w:tcPr>
                  <w:tcW w:w="1155"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销售部</w:t>
                  </w:r>
                </w:p>
              </w:tc>
              <w:tc>
                <w:tcPr>
                  <w:tcW w:w="1489"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顾客满意度≥90%</w:t>
                  </w:r>
                </w:p>
              </w:tc>
              <w:tc>
                <w:tcPr>
                  <w:tcW w:w="300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eastAsia="zh-CN"/>
                    </w:rPr>
                    <w:t>满意度得分总和</w:t>
                  </w:r>
                  <w:r>
                    <w:rPr>
                      <w:rFonts w:hint="eastAsia" w:ascii="宋体" w:hAnsi="宋体" w:eastAsia="宋体" w:cs="Times New Roman"/>
                      <w:lang w:val="en-US" w:eastAsia="zh-CN"/>
                    </w:rPr>
                    <w:t>/顾客数*100%</w:t>
                  </w:r>
                </w:p>
              </w:tc>
              <w:tc>
                <w:tcPr>
                  <w:tcW w:w="1155"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销售部</w:t>
                  </w:r>
                </w:p>
              </w:tc>
              <w:tc>
                <w:tcPr>
                  <w:tcW w:w="1489"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val="en-US" w:eastAsia="zh-CN"/>
                    </w:rPr>
                    <w:t>97</w:t>
                  </w:r>
                  <w:r>
                    <w:rPr>
                      <w:rFonts w:hint="eastAsia" w:ascii="宋体" w:hAnsi="宋体"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pPr>
                </w:p>
              </w:tc>
              <w:tc>
                <w:tcPr>
                  <w:tcW w:w="3000" w:type="dxa"/>
                  <w:shd w:val="clear" w:color="auto" w:fill="auto"/>
                  <w:vAlign w:val="center"/>
                </w:tcPr>
                <w:p>
                  <w:pPr>
                    <w:shd w:val="clear" w:color="auto" w:fill="C7DAF1" w:themeFill="text2" w:themeFillTint="32"/>
                    <w:rPr>
                      <w:rFonts w:ascii="宋体" w:hAnsi="宋体"/>
                    </w:rPr>
                  </w:pPr>
                </w:p>
              </w:tc>
              <w:tc>
                <w:tcPr>
                  <w:tcW w:w="1155" w:type="dxa"/>
                  <w:shd w:val="clear" w:color="auto" w:fill="auto"/>
                  <w:vAlign w:val="center"/>
                </w:tcPr>
                <w:p>
                  <w:pPr>
                    <w:shd w:val="clear" w:color="auto" w:fill="C7DAF1" w:themeFill="text2" w:themeFillTint="32"/>
                    <w:rPr>
                      <w:rFonts w:ascii="宋体" w:hAnsi="宋体"/>
                    </w:rPr>
                  </w:pPr>
                </w:p>
              </w:tc>
              <w:tc>
                <w:tcPr>
                  <w:tcW w:w="1489"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7" w:type="dxa"/>
                  <w:shd w:val="clear" w:color="auto" w:fill="auto"/>
                </w:tcPr>
                <w:p>
                  <w:pPr>
                    <w:shd w:val="clear" w:color="auto" w:fill="C7DAF1" w:themeFill="text2" w:themeFillTint="32"/>
                  </w:pPr>
                </w:p>
              </w:tc>
              <w:tc>
                <w:tcPr>
                  <w:tcW w:w="3000" w:type="dxa"/>
                  <w:shd w:val="clear" w:color="auto" w:fill="auto"/>
                  <w:vAlign w:val="center"/>
                </w:tcPr>
                <w:p>
                  <w:pPr>
                    <w:shd w:val="clear" w:color="auto" w:fill="C7DAF1" w:themeFill="text2" w:themeFillTint="32"/>
                    <w:rPr>
                      <w:rFonts w:ascii="宋体" w:hAnsi="宋体"/>
                    </w:rPr>
                  </w:pPr>
                </w:p>
              </w:tc>
              <w:tc>
                <w:tcPr>
                  <w:tcW w:w="1155" w:type="dxa"/>
                  <w:shd w:val="clear" w:color="auto" w:fill="auto"/>
                  <w:vAlign w:val="center"/>
                </w:tcPr>
                <w:p>
                  <w:pPr>
                    <w:shd w:val="clear" w:color="auto" w:fill="C7DAF1" w:themeFill="text2" w:themeFillTint="32"/>
                    <w:rPr>
                      <w:rFonts w:ascii="宋体" w:hAnsi="宋体"/>
                    </w:rPr>
                  </w:pPr>
                </w:p>
              </w:tc>
              <w:tc>
                <w:tcPr>
                  <w:tcW w:w="1489"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建筑面积3000平方米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（造粒机、喂料机、切粒机、破碎机、甩干机）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（台秤、游标卡尺、磅秤、电子天平）</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再生塑料颗粒的加工</w:t>
                  </w:r>
                </w:p>
              </w:tc>
              <w:tc>
                <w:tcPr>
                  <w:tcW w:w="3665" w:type="dxa"/>
                </w:tcPr>
                <w:p>
                  <w:pPr>
                    <w:shd w:val="clear" w:color="auto" w:fill="C7DAF1" w:themeFill="text2" w:themeFillTint="32"/>
                    <w:jc w:val="left"/>
                  </w:pPr>
                  <w:r>
                    <w:rPr>
                      <w:rFonts w:hint="eastAsia"/>
                    </w:rPr>
                    <w:t>熔融挤塑</w:t>
                  </w:r>
                </w:p>
              </w:tc>
              <w:tc>
                <w:tcPr>
                  <w:tcW w:w="3265" w:type="dxa"/>
                </w:tcPr>
                <w:p>
                  <w:pPr>
                    <w:shd w:val="clear" w:color="auto" w:fill="C7DAF1" w:themeFill="text2" w:themeFillTint="32"/>
                    <w:jc w:val="left"/>
                  </w:pPr>
                  <w:r>
                    <w:rPr>
                      <w:rFonts w:hint="eastAsia" w:ascii="Times New Roman" w:hAnsi="Times New Roman" w:eastAsia="宋体" w:cs="Times New Roman"/>
                    </w:rPr>
                    <w:t>塑料熔融温度、时间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需要确认的过程：熔融挤塑，</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eastAsia="zh-CN"/>
              </w:rPr>
              <w:t>再生塑料颗粒外检报告，编号：</w:t>
            </w:r>
            <w:r>
              <w:rPr>
                <w:rFonts w:hint="eastAsia"/>
                <w:lang w:val="en-US" w:eastAsia="zh-CN"/>
              </w:rPr>
              <w:t>GZIN2102006589MR-CN</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通过年度策划于2021年12月5日实施了质量管理体系内部审核，对质量管理体系的符合性和有效性进行了审核。内审发现的项不符合在本次审核前已完成整改。在公司内完成的这些审核是可信的。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最高管理者已按策划的时间间隔，在2021年12月15日对组织的质量管理体系进行了评审，以确保其持续的适宜性、充分性和有效性；管理评审输入、输出均按要求提供。并对提出的改进措施进行了落实。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lang w:eastAsia="zh-CN"/>
              </w:rPr>
              <w:t>文明</w:t>
            </w:r>
            <w:r>
              <w:rPr>
                <w:rFonts w:hint="eastAsia"/>
              </w:rPr>
              <w:t>守法，保护环境</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43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tcPr>
                <w:p>
                  <w:pPr>
                    <w:shd w:val="clear" w:color="auto" w:fill="EBF1DE" w:themeFill="accent3" w:themeFillTint="32"/>
                  </w:pPr>
                  <w:r>
                    <w:rPr>
                      <w:rFonts w:hint="eastAsia"/>
                    </w:rPr>
                    <w:t>主要的风险或机遇描述</w:t>
                  </w:r>
                </w:p>
              </w:tc>
              <w:tc>
                <w:tcPr>
                  <w:tcW w:w="438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438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4388"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4388"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4388"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eastAsia="zh-CN"/>
                    </w:rPr>
                    <w:t>废气</w:t>
                  </w:r>
                  <w:r>
                    <w:rPr>
                      <w:rFonts w:hint="eastAsia" w:cs="Times New Roman" w:asciiTheme="minorEastAsia" w:hAnsiTheme="minorEastAsia" w:eastAsiaTheme="minorEastAsia"/>
                      <w:b w:val="0"/>
                      <w:bCs w:val="0"/>
                      <w:sz w:val="21"/>
                      <w:szCs w:val="21"/>
                    </w:rPr>
                    <w:t>排放</w:t>
                  </w:r>
                </w:p>
              </w:tc>
              <w:tc>
                <w:tcPr>
                  <w:tcW w:w="4388"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w:t>
            </w:r>
            <w:r>
              <w:rPr>
                <w:rFonts w:hint="eastAsia"/>
                <w:lang w:eastAsia="zh-CN"/>
              </w:rPr>
              <w:t>☑</w:t>
            </w:r>
            <w:r>
              <w:rPr>
                <w:rFonts w:hint="eastAsia"/>
              </w:rPr>
              <w:t>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eastAsia" w:eastAsia="宋体"/>
                <w:highlight w:val="cyan"/>
                <w:lang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250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50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污染物排放不超标</w:t>
                  </w:r>
                </w:p>
              </w:tc>
              <w:tc>
                <w:tcPr>
                  <w:tcW w:w="2505"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rPr>
                    <w:t>固体废弃物处理处置率</w:t>
                  </w:r>
                  <w:r>
                    <w:rPr>
                      <w:rFonts w:hint="eastAsia" w:ascii="宋体" w:hAnsi="宋体" w:eastAsia="宋体" w:cs="Times New Roman"/>
                      <w:lang w:val="en-US" w:eastAsia="zh-CN"/>
                    </w:rPr>
                    <w:t>100%</w:t>
                  </w:r>
                </w:p>
              </w:tc>
              <w:tc>
                <w:tcPr>
                  <w:tcW w:w="2505"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rPr>
                      <w:rFonts w:hint="eastAsia" w:ascii="宋体" w:hAnsi="宋体" w:eastAsia="宋体" w:cs="Times New Roman"/>
                      <w:lang w:eastAsia="zh-CN"/>
                    </w:rPr>
                  </w:pPr>
                  <w:r>
                    <w:rPr>
                      <w:rFonts w:hint="eastAsia" w:ascii="宋体" w:hAnsi="宋体" w:eastAsia="宋体" w:cs="Times New Roman"/>
                    </w:rPr>
                    <w:t>火灾事故</w:t>
                  </w:r>
                  <w:r>
                    <w:rPr>
                      <w:rFonts w:hint="eastAsia" w:ascii="宋体" w:hAnsi="宋体" w:eastAsia="宋体" w:cs="Times New Roman"/>
                      <w:lang w:eastAsia="zh-CN"/>
                    </w:rPr>
                    <w:t>发生为零</w:t>
                  </w:r>
                </w:p>
              </w:tc>
              <w:tc>
                <w:tcPr>
                  <w:tcW w:w="2505" w:type="dxa"/>
                  <w:shd w:val="clear" w:color="auto" w:fill="auto"/>
                  <w:vAlign w:val="center"/>
                </w:tcPr>
                <w:p>
                  <w:pPr>
                    <w:shd w:val="clear" w:color="auto" w:fill="EBF1DE" w:themeFill="accent3" w:themeFillTint="32"/>
                    <w:rPr>
                      <w:rFonts w:hint="eastAsia"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pPr>
                </w:p>
              </w:tc>
              <w:tc>
                <w:tcPr>
                  <w:tcW w:w="250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22" w:type="dxa"/>
                  <w:shd w:val="clear" w:color="auto" w:fill="auto"/>
                </w:tcPr>
                <w:p>
                  <w:pPr>
                    <w:shd w:val="clear" w:color="auto" w:fill="EBF1DE" w:themeFill="accent3" w:themeFillTint="32"/>
                  </w:pPr>
                </w:p>
              </w:tc>
              <w:tc>
                <w:tcPr>
                  <w:tcW w:w="250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eastAsia="zh-CN"/>
              </w:rPr>
              <w:t>建筑面积3000平方米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（造粒机、喂料机、切粒机、破碎机、甩干机）</w:t>
            </w:r>
          </w:p>
          <w:p>
            <w:pPr>
              <w:shd w:val="clear" w:color="auto" w:fill="EBF1DE" w:themeFill="accent3" w:themeFillTint="32"/>
              <w:rPr>
                <w:u w:val="single"/>
              </w:rPr>
            </w:pPr>
            <w:r>
              <w:rPr>
                <w:rFonts w:hint="eastAsia"/>
              </w:rPr>
              <w:t>主要环保设备有：</w:t>
            </w:r>
            <w:r>
              <w:rPr>
                <w:rFonts w:hint="eastAsia"/>
                <w:u w:val="single"/>
              </w:rPr>
              <w:t>（UV光氧净化器）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于2021年11月30日进行了的演练；并总结了预案的可行性和有效性。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定期（每年）：2021年11月30日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eastAsia="zh-CN"/>
              </w:rPr>
              <w:t>炯测检字(2021)第E014445号。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lang w:eastAsia="zh-CN"/>
              </w:rPr>
              <w:t>2021年12月5日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cs="宋体"/>
                <w:szCs w:val="21"/>
                <w:lang w:eastAsia="zh-CN"/>
              </w:rPr>
              <w:t>2021年12月15日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mNDE1OTA0NjMzMTc3MjRkMDFmMDVlMjFhNzg3YjQifQ=="/>
  </w:docVars>
  <w:rsids>
    <w:rsidRoot w:val="00000000"/>
    <w:rsid w:val="01535BBA"/>
    <w:rsid w:val="016320EC"/>
    <w:rsid w:val="03D15045"/>
    <w:rsid w:val="04D34577"/>
    <w:rsid w:val="05E46528"/>
    <w:rsid w:val="06A20FC1"/>
    <w:rsid w:val="06DC2AB4"/>
    <w:rsid w:val="07BB69FE"/>
    <w:rsid w:val="0A1934A0"/>
    <w:rsid w:val="0A640A93"/>
    <w:rsid w:val="0B4E5976"/>
    <w:rsid w:val="0D783364"/>
    <w:rsid w:val="0E2F4686"/>
    <w:rsid w:val="10164837"/>
    <w:rsid w:val="10212091"/>
    <w:rsid w:val="10223A7C"/>
    <w:rsid w:val="106E2027"/>
    <w:rsid w:val="128B1A45"/>
    <w:rsid w:val="13946B1E"/>
    <w:rsid w:val="14363F8E"/>
    <w:rsid w:val="15486083"/>
    <w:rsid w:val="18426B32"/>
    <w:rsid w:val="190873AA"/>
    <w:rsid w:val="1A830D59"/>
    <w:rsid w:val="1AA90718"/>
    <w:rsid w:val="1CFF214E"/>
    <w:rsid w:val="1D752B34"/>
    <w:rsid w:val="1D9D4AC7"/>
    <w:rsid w:val="1EA12B68"/>
    <w:rsid w:val="1EFA334B"/>
    <w:rsid w:val="1F5E0530"/>
    <w:rsid w:val="204A6308"/>
    <w:rsid w:val="20B45A1A"/>
    <w:rsid w:val="20D236AA"/>
    <w:rsid w:val="216E446A"/>
    <w:rsid w:val="21891194"/>
    <w:rsid w:val="22401962"/>
    <w:rsid w:val="235E107F"/>
    <w:rsid w:val="24150046"/>
    <w:rsid w:val="251915FD"/>
    <w:rsid w:val="26AC7464"/>
    <w:rsid w:val="27C04C90"/>
    <w:rsid w:val="28CD4972"/>
    <w:rsid w:val="28D0405B"/>
    <w:rsid w:val="28DA36AC"/>
    <w:rsid w:val="2970456A"/>
    <w:rsid w:val="29C56BF1"/>
    <w:rsid w:val="2A3138D1"/>
    <w:rsid w:val="2B275DFA"/>
    <w:rsid w:val="2CD81CAD"/>
    <w:rsid w:val="2CF91A3F"/>
    <w:rsid w:val="2CFD572A"/>
    <w:rsid w:val="2D714B9D"/>
    <w:rsid w:val="2E2073AA"/>
    <w:rsid w:val="2EF52DE8"/>
    <w:rsid w:val="2F4310D4"/>
    <w:rsid w:val="2F8B5819"/>
    <w:rsid w:val="30881645"/>
    <w:rsid w:val="318C0D45"/>
    <w:rsid w:val="322B306B"/>
    <w:rsid w:val="32391589"/>
    <w:rsid w:val="32B82FD5"/>
    <w:rsid w:val="33235945"/>
    <w:rsid w:val="33412AB9"/>
    <w:rsid w:val="33457B5A"/>
    <w:rsid w:val="33A8380B"/>
    <w:rsid w:val="38914AB5"/>
    <w:rsid w:val="38F848ED"/>
    <w:rsid w:val="394F57CB"/>
    <w:rsid w:val="3B092B64"/>
    <w:rsid w:val="3D603F1B"/>
    <w:rsid w:val="427D5E63"/>
    <w:rsid w:val="443B653F"/>
    <w:rsid w:val="4471475E"/>
    <w:rsid w:val="45156827"/>
    <w:rsid w:val="461E51EB"/>
    <w:rsid w:val="47E75B0E"/>
    <w:rsid w:val="485E33DD"/>
    <w:rsid w:val="49EC0B96"/>
    <w:rsid w:val="4A7933B4"/>
    <w:rsid w:val="4AA66682"/>
    <w:rsid w:val="4CFD684A"/>
    <w:rsid w:val="4D043611"/>
    <w:rsid w:val="4D613B57"/>
    <w:rsid w:val="4DE13C01"/>
    <w:rsid w:val="4DF25957"/>
    <w:rsid w:val="4E5F6D26"/>
    <w:rsid w:val="4E6F40BC"/>
    <w:rsid w:val="4E9F17A4"/>
    <w:rsid w:val="4F204746"/>
    <w:rsid w:val="4FA82DAA"/>
    <w:rsid w:val="50A21234"/>
    <w:rsid w:val="50C431DE"/>
    <w:rsid w:val="51D414AC"/>
    <w:rsid w:val="546E5C98"/>
    <w:rsid w:val="55471BD1"/>
    <w:rsid w:val="575A2877"/>
    <w:rsid w:val="57AE51D7"/>
    <w:rsid w:val="58DD46A4"/>
    <w:rsid w:val="5962291D"/>
    <w:rsid w:val="59F139BC"/>
    <w:rsid w:val="5A802968"/>
    <w:rsid w:val="5AA47FD9"/>
    <w:rsid w:val="5ABF4E13"/>
    <w:rsid w:val="5E9B7691"/>
    <w:rsid w:val="5FB96E19"/>
    <w:rsid w:val="5FF20070"/>
    <w:rsid w:val="600D2854"/>
    <w:rsid w:val="61FB7A6A"/>
    <w:rsid w:val="63A8314E"/>
    <w:rsid w:val="642F4DB7"/>
    <w:rsid w:val="64D950F0"/>
    <w:rsid w:val="65D774B5"/>
    <w:rsid w:val="66AF3FED"/>
    <w:rsid w:val="671B1CCD"/>
    <w:rsid w:val="67D82F2F"/>
    <w:rsid w:val="67EE08F1"/>
    <w:rsid w:val="680A62EC"/>
    <w:rsid w:val="68291918"/>
    <w:rsid w:val="6AAC6EB3"/>
    <w:rsid w:val="6D6B7B64"/>
    <w:rsid w:val="6E214824"/>
    <w:rsid w:val="6E984D7C"/>
    <w:rsid w:val="6F881820"/>
    <w:rsid w:val="702F613F"/>
    <w:rsid w:val="71782745"/>
    <w:rsid w:val="72275320"/>
    <w:rsid w:val="73731BD4"/>
    <w:rsid w:val="73D547B7"/>
    <w:rsid w:val="742D7FB8"/>
    <w:rsid w:val="74353BAF"/>
    <w:rsid w:val="75BD2327"/>
    <w:rsid w:val="762C11EB"/>
    <w:rsid w:val="762C432F"/>
    <w:rsid w:val="766C3C49"/>
    <w:rsid w:val="77EB2D21"/>
    <w:rsid w:val="786848E4"/>
    <w:rsid w:val="791B77D4"/>
    <w:rsid w:val="791E49C9"/>
    <w:rsid w:val="7B66715C"/>
    <w:rsid w:val="7BB10004"/>
    <w:rsid w:val="7C2E374F"/>
    <w:rsid w:val="7DC10D1E"/>
    <w:rsid w:val="7DD108B5"/>
    <w:rsid w:val="7E8342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0"/>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2022-04-29T05:11:47Z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