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53"/>
        <w:gridCol w:w="1280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eastAsia="宋体"/>
                <w:b/>
                <w:sz w:val="22"/>
                <w:szCs w:val="22"/>
              </w:rPr>
              <w:t>重庆国本特卫保安服务有限公司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Q：35.12.00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HiddenHorzOCR" w:hAnsi="HiddenHorzOCR" w:eastAsia="HiddenHorzOCR" w:cs="HiddenHorzOCR"/>
                <w:color w:val="000000"/>
                <w:kern w:val="0"/>
                <w:sz w:val="21"/>
                <w:szCs w:val="21"/>
                <w:lang w:val="en-US" w:eastAsia="zh-CN" w:bidi="ar"/>
              </w:rPr>
              <w:t>私人保安活动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</w:t>
            </w:r>
            <w:r>
              <w:rPr>
                <w:rFonts w:hint="eastAsia" w:eastAsia="宋体"/>
                <w:b/>
                <w:sz w:val="22"/>
                <w:szCs w:val="22"/>
              </w:rPr>
              <w:t>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宾馆会议室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  <w:t>24日19：00-20：00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3" w:name="_GoBack"/>
            <w:bookmarkEnd w:id="3"/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240" w:lineRule="auto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保安服务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流程：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签订合同——人员派驻——实施服务——满意度回访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保安服务流程风险：人员素质、服务质量达到客户要求、服务过程人员安全风险等；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风险控制措施：人员安全教育培训，制订操作规程及应急预案并演练等措施。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《保安服务管理条例》、《中华人民共和国消费者权益保护法》、《中华人民共和国安全消防法》、《中华人民共和国劳动合同法》、《中华人民共和国安全生产法》等。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保安服务考核内容：服务质量（安全性、及时性、态度等）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190500</wp:posOffset>
                  </wp:positionV>
                  <wp:extent cx="629285" cy="317500"/>
                  <wp:effectExtent l="0" t="0" r="10795" b="2540"/>
                  <wp:wrapNone/>
                  <wp:docPr id="3" name="图片 3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2022年4月24日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165735</wp:posOffset>
                  </wp:positionV>
                  <wp:extent cx="812800" cy="400050"/>
                  <wp:effectExtent l="0" t="0" r="10160" b="11430"/>
                  <wp:wrapNone/>
                  <wp:docPr id="1" name="图片 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2022年4月24日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iddenHorzOC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rsids>
    <w:rsidRoot w:val="00000000"/>
    <w:rsid w:val="14B86F23"/>
    <w:rsid w:val="1CCC4F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2022-04-24T07:40:40Z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eyJoZGlkIjoiNjA2ZDc0NDE1ZTY5YjdmZDFkYTZhNjAxMDE4N2I3ODkifQ==</vt:lpwstr>
  </property>
</Properties>
</file>