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0377-2022-EnMs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河北万博生物科技有限公司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河北万博生物科技有限公司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赞皇县龙门乡榆底村</w:t>
            </w:r>
            <w:bookmarkEnd w:id="6"/>
          </w:p>
        </w:tc>
        <w:tc>
          <w:tcPr>
            <w:tcW w:w="1242" w:type="dxa"/>
            <w:vMerge w:val="restart"/>
            <w:vAlign w:val="center"/>
          </w:tcPr>
          <w:p>
            <w:r>
              <w:rPr>
                <w:rFonts w:hint="eastAsia"/>
              </w:rPr>
              <w:t>邮编</w:t>
            </w:r>
          </w:p>
        </w:tc>
        <w:tc>
          <w:tcPr>
            <w:tcW w:w="1771" w:type="dxa"/>
          </w:tcPr>
          <w:p>
            <w:bookmarkStart w:id="7" w:name="注册邮编"/>
            <w:r>
              <w:t>051230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赞皇县龙门乡榆底村</w:t>
            </w:r>
            <w:bookmarkEnd w:id="8"/>
          </w:p>
        </w:tc>
        <w:tc>
          <w:tcPr>
            <w:tcW w:w="1242" w:type="dxa"/>
            <w:vMerge w:val="continue"/>
            <w:vAlign w:val="center"/>
          </w:tcPr>
          <w:p/>
        </w:tc>
        <w:tc>
          <w:tcPr>
            <w:tcW w:w="1771" w:type="dxa"/>
          </w:tcPr>
          <w:p>
            <w:bookmarkStart w:id="9" w:name="办公邮编"/>
            <w:r>
              <w:t>051230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李少伟</w:t>
            </w:r>
            <w:bookmarkEnd w:id="10"/>
          </w:p>
        </w:tc>
        <w:tc>
          <w:tcPr>
            <w:tcW w:w="1313" w:type="dxa"/>
            <w:vAlign w:val="center"/>
          </w:tcPr>
          <w:p>
            <w:r>
              <w:rPr>
                <w:rFonts w:hint="eastAsia"/>
              </w:rPr>
              <w:t>电话.</w:t>
            </w:r>
          </w:p>
        </w:tc>
        <w:tc>
          <w:tcPr>
            <w:tcW w:w="2180" w:type="dxa"/>
            <w:vAlign w:val="center"/>
          </w:tcPr>
          <w:p>
            <w:bookmarkStart w:id="11" w:name="联系人电话"/>
            <w:r>
              <w:t>13831131665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赵太河</w:t>
            </w:r>
            <w:bookmarkEnd w:id="13"/>
          </w:p>
        </w:tc>
        <w:tc>
          <w:tcPr>
            <w:tcW w:w="1313" w:type="dxa"/>
            <w:vAlign w:val="center"/>
          </w:tcPr>
          <w:p>
            <w:r>
              <w:rPr>
                <w:rFonts w:hint="eastAsia"/>
              </w:rPr>
              <w:t>管理者代表</w:t>
            </w:r>
          </w:p>
        </w:tc>
        <w:tc>
          <w:tcPr>
            <w:tcW w:w="2180" w:type="dxa"/>
          </w:tcPr>
          <w:p>
            <w:bookmarkStart w:id="14" w:name="管理者代表"/>
            <w:r>
              <w:t>赵瑞祥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w:t>
            </w:r>
            <w:r>
              <w:rPr>
                <w:rFonts w:hint="eastAsia"/>
              </w:rPr>
              <w:sym w:font="Wingdings 2" w:char="00A3"/>
            </w:r>
            <w:r>
              <w:rPr>
                <w:rFonts w:hint="eastAsia"/>
              </w:rPr>
              <w:t>三班□其他</w:t>
            </w:r>
          </w:p>
          <w:p>
            <w:r>
              <w:rPr>
                <w:rFonts w:hint="eastAsia"/>
                <w:highlight w:val="cyan"/>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1651635" cy="2051685"/>
                  <wp:effectExtent l="0" t="0" r="1206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51635" cy="2051685"/>
                          </a:xfrm>
                          <a:prstGeom prst="rect">
                            <a:avLst/>
                          </a:prstGeom>
                          <a:noFill/>
                          <a:ln>
                            <a:noFill/>
                          </a:ln>
                        </pic:spPr>
                      </pic:pic>
                    </a:graphicData>
                  </a:graphic>
                </wp:inline>
              </w:drawing>
            </w:r>
            <w:r>
              <w:drawing>
                <wp:inline distT="0" distB="0" distL="114300" distR="114300">
                  <wp:extent cx="1485265" cy="2285365"/>
                  <wp:effectExtent l="0" t="0" r="63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485265" cy="2285365"/>
                          </a:xfrm>
                          <a:prstGeom prst="rect">
                            <a:avLst/>
                          </a:prstGeom>
                          <a:noFill/>
                          <a:ln>
                            <a:noFill/>
                          </a:ln>
                        </pic:spPr>
                      </pic:pic>
                    </a:graphicData>
                  </a:graphic>
                </wp:inline>
              </w:drawing>
            </w:r>
            <w:r>
              <w:drawing>
                <wp:inline distT="0" distB="0" distL="114300" distR="114300">
                  <wp:extent cx="1403985" cy="2290445"/>
                  <wp:effectExtent l="0" t="0" r="5715" b="825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403985" cy="229044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2022年05月10日 下午至2022年05月12日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rPr>
            </w:pPr>
            <w:r>
              <w:rPr>
                <w:rFonts w:hint="eastAsia"/>
                <w:lang w:val="de-DE"/>
              </w:rPr>
              <w:sym w:font="Wingdings 2" w:char="0052"/>
            </w:r>
            <w:r>
              <w:rPr>
                <w:rFonts w:hint="eastAsia"/>
                <w:lang w:eastAsia="zh-CN"/>
              </w:rPr>
              <w:t>RB</w:t>
            </w:r>
            <w:r>
              <w:rPr>
                <w:rFonts w:hint="eastAsia"/>
                <w:lang w:val="en-US" w:eastAsia="zh-CN"/>
              </w:rPr>
              <w:t>/</w:t>
            </w:r>
            <w:r>
              <w:rPr>
                <w:rFonts w:hint="eastAsia"/>
                <w:lang w:eastAsia="zh-CN"/>
              </w:rPr>
              <w:t>T 114-2014 《能源管理体系 纯碱、焦化、橡塑制品、制药等化工企业认证要求》</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Theme="minorEastAsia"/>
                <w:b/>
                <w:color w:val="0000FF"/>
                <w:szCs w:val="21"/>
                <w:lang w:val="en-US" w:eastAsia="zh-CN"/>
              </w:rPr>
            </w:pPr>
            <w:bookmarkStart w:id="29" w:name="生产地址"/>
            <w:r>
              <w:rPr>
                <w:rFonts w:asciiTheme="minorEastAsia" w:hAnsiTheme="minorEastAsia" w:eastAsiaTheme="minorEastAsia"/>
                <w:sz w:val="20"/>
              </w:rPr>
              <w:t>赞皇县龙门乡榆底村</w:t>
            </w:r>
            <w:bookmarkEnd w:id="29"/>
            <w:r>
              <w:rPr>
                <w:rFonts w:hint="eastAsia" w:asciiTheme="minorEastAsia" w:hAnsiTheme="minorEastAsia" w:eastAsiaTheme="minorEastAsia"/>
                <w:sz w:val="20"/>
                <w:lang w:val="en-US" w:eastAsia="zh-CN"/>
              </w:rPr>
              <w:t>/深圳市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阿维</w:t>
            </w:r>
            <w:r>
              <w:rPr>
                <w:rFonts w:hint="eastAsia"/>
                <w:lang w:val="en-US" w:eastAsia="zh-CN"/>
              </w:rPr>
              <w:t>菌</w:t>
            </w:r>
            <w:r>
              <w:t>素的生产所涉及的能源管理活动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2.3</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29"/>
        <w:gridCol w:w="709"/>
        <w:gridCol w:w="1551"/>
        <w:gridCol w:w="19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29" w:type="dxa"/>
            <w:shd w:val="clear" w:color="auto" w:fill="F3F3F3"/>
            <w:tcMar>
              <w:left w:w="57" w:type="dxa"/>
              <w:right w:w="57" w:type="dxa"/>
            </w:tcMar>
          </w:tcPr>
          <w:p>
            <w:r>
              <w:rPr>
                <w:rFonts w:hint="eastAsia"/>
              </w:rPr>
              <w:t>经营场所的地址</w:t>
            </w:r>
          </w:p>
          <w:p>
            <w:r>
              <w:rPr>
                <w:rFonts w:hint="eastAsia"/>
              </w:rPr>
              <w:t>（多现场和临时现场）</w:t>
            </w:r>
          </w:p>
        </w:tc>
        <w:tc>
          <w:tcPr>
            <w:tcW w:w="709" w:type="dxa"/>
            <w:shd w:val="clear" w:color="auto" w:fill="F3F3F3"/>
            <w:tcMar>
              <w:left w:w="57" w:type="dxa"/>
              <w:right w:w="57" w:type="dxa"/>
            </w:tcMar>
          </w:tcPr>
          <w:p>
            <w:r>
              <w:rPr>
                <w:rFonts w:hint="eastAsia"/>
              </w:rPr>
              <w:t>员工人数</w:t>
            </w:r>
          </w:p>
        </w:tc>
        <w:tc>
          <w:tcPr>
            <w:tcW w:w="155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9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河北万博生物科技有限公司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赞皇县龙门乡榆底村</w:t>
            </w:r>
          </w:p>
        </w:tc>
        <w:tc>
          <w:tcPr>
            <w:tcW w:w="2129" w:type="dxa"/>
            <w:vAlign w:val="top"/>
          </w:tcPr>
          <w:p>
            <w:pPr>
              <w:rPr>
                <w:rFonts w:hint="eastAsia" w:ascii="Times New Roman" w:hAnsi="Times New Roman" w:eastAsia="宋体" w:cs="Times New Roman"/>
                <w:lang w:val="de-DE" w:eastAsia="ja-JP"/>
              </w:rPr>
            </w:pPr>
            <w:r>
              <w:rPr>
                <w:rFonts w:hint="eastAsia" w:ascii="Times New Roman" w:hAnsi="Times New Roman" w:eastAsia="宋体" w:cs="Times New Roman"/>
              </w:rPr>
              <w:t>赞皇县龙门乡榆底村</w:t>
            </w:r>
          </w:p>
        </w:tc>
        <w:tc>
          <w:tcPr>
            <w:tcW w:w="709" w:type="dxa"/>
            <w:vAlign w:val="center"/>
          </w:tcPr>
          <w:p>
            <w:pPr>
              <w:rPr>
                <w:rFonts w:hint="default" w:ascii="Times New Roman" w:hAnsi="Times New Roman" w:eastAsia="宋体" w:cs="Times New Roman"/>
                <w:lang w:val="en-US" w:eastAsia="ja-JP"/>
              </w:rPr>
            </w:pPr>
            <w:r>
              <w:rPr>
                <w:rFonts w:hint="eastAsia" w:ascii="Times New Roman" w:hAnsi="Times New Roman" w:eastAsia="宋体" w:cs="Times New Roman"/>
                <w:lang w:val="en-US" w:eastAsia="zh-CN"/>
              </w:rPr>
              <w:t>104</w:t>
            </w:r>
          </w:p>
        </w:tc>
        <w:tc>
          <w:tcPr>
            <w:tcW w:w="1551" w:type="dxa"/>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阿维菌素的生产</w:t>
            </w:r>
            <w:bookmarkStart w:id="35" w:name="_GoBack"/>
            <w:bookmarkEnd w:id="35"/>
          </w:p>
        </w:tc>
        <w:tc>
          <w:tcPr>
            <w:tcW w:w="1921" w:type="dxa"/>
            <w:vAlign w:val="center"/>
          </w:tcPr>
          <w:p>
            <w:pPr>
              <w:rPr>
                <w:rFonts w:hint="eastAsia" w:ascii="Times New Roman" w:hAnsi="Times New Roman" w:eastAsia="宋体" w:cs="Times New Roman"/>
              </w:rPr>
            </w:pPr>
            <w:r>
              <w:rPr>
                <w:rFonts w:hint="eastAsia" w:ascii="Times New Roman" w:hAnsi="Times New Roman" w:eastAsia="宋体" w:cs="Times New Roman"/>
              </w:rPr>
              <w:t>GB/T 23331-2020</w:t>
            </w:r>
          </w:p>
          <w:p>
            <w:pPr>
              <w:rPr>
                <w:rFonts w:hint="eastAsia" w:ascii="Times New Roman" w:hAnsi="Times New Roman" w:eastAsia="宋体" w:cs="Times New Roman"/>
                <w:lang w:val="en-US" w:eastAsia="ja-JP"/>
              </w:rPr>
            </w:pPr>
            <w:r>
              <w:rPr>
                <w:rFonts w:hint="eastAsia" w:ascii="Times New Roman" w:hAnsi="Times New Roman" w:eastAsia="宋体" w:cs="Times New Roman"/>
                <w:lang w:eastAsia="zh-CN"/>
              </w:rPr>
              <w:t>RB</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 xml:space="preserve">T 114-2014 </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129" w:type="dxa"/>
            <w:vAlign w:val="center"/>
          </w:tcPr>
          <w:p>
            <w:pPr>
              <w:rPr>
                <w:lang w:eastAsia="ja-JP"/>
              </w:rPr>
            </w:pPr>
          </w:p>
        </w:tc>
        <w:tc>
          <w:tcPr>
            <w:tcW w:w="709" w:type="dxa"/>
            <w:vAlign w:val="center"/>
          </w:tcPr>
          <w:p>
            <w:pPr>
              <w:rPr>
                <w:lang w:eastAsia="ja-JP"/>
              </w:rPr>
            </w:pPr>
          </w:p>
        </w:tc>
        <w:tc>
          <w:tcPr>
            <w:tcW w:w="1551" w:type="dxa"/>
            <w:vAlign w:val="center"/>
          </w:tcPr>
          <w:p>
            <w:pPr>
              <w:rPr>
                <w:lang w:eastAsia="ja-JP"/>
              </w:rPr>
            </w:pPr>
          </w:p>
        </w:tc>
        <w:tc>
          <w:tcPr>
            <w:tcW w:w="19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129" w:type="dxa"/>
            <w:vAlign w:val="center"/>
          </w:tcPr>
          <w:p>
            <w:pPr>
              <w:rPr>
                <w:lang w:eastAsia="ja-JP"/>
              </w:rPr>
            </w:pPr>
          </w:p>
        </w:tc>
        <w:tc>
          <w:tcPr>
            <w:tcW w:w="709" w:type="dxa"/>
            <w:vAlign w:val="center"/>
          </w:tcPr>
          <w:p>
            <w:pPr>
              <w:rPr>
                <w:lang w:eastAsia="ja-JP"/>
              </w:rPr>
            </w:pPr>
          </w:p>
        </w:tc>
        <w:tc>
          <w:tcPr>
            <w:tcW w:w="1551" w:type="dxa"/>
            <w:vAlign w:val="center"/>
          </w:tcPr>
          <w:p>
            <w:pPr>
              <w:rPr>
                <w:lang w:eastAsia="ja-JP"/>
              </w:rPr>
            </w:pPr>
          </w:p>
        </w:tc>
        <w:tc>
          <w:tcPr>
            <w:tcW w:w="19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129" w:type="dxa"/>
            <w:vAlign w:val="center"/>
          </w:tcPr>
          <w:p>
            <w:pPr>
              <w:rPr>
                <w:lang w:eastAsia="ja-JP"/>
              </w:rPr>
            </w:pPr>
          </w:p>
        </w:tc>
        <w:tc>
          <w:tcPr>
            <w:tcW w:w="709" w:type="dxa"/>
            <w:vAlign w:val="center"/>
          </w:tcPr>
          <w:p>
            <w:pPr>
              <w:rPr>
                <w:lang w:eastAsia="ja-JP"/>
              </w:rPr>
            </w:pPr>
          </w:p>
        </w:tc>
        <w:tc>
          <w:tcPr>
            <w:tcW w:w="1551" w:type="dxa"/>
            <w:vAlign w:val="center"/>
          </w:tcPr>
          <w:p>
            <w:pPr>
              <w:rPr>
                <w:lang w:eastAsia="ja-JP"/>
              </w:rPr>
            </w:pPr>
          </w:p>
        </w:tc>
        <w:tc>
          <w:tcPr>
            <w:tcW w:w="192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129" w:type="dxa"/>
            <w:vAlign w:val="center"/>
          </w:tcPr>
          <w:p>
            <w:pPr>
              <w:rPr>
                <w:lang w:eastAsia="ja-JP"/>
              </w:rPr>
            </w:pPr>
          </w:p>
        </w:tc>
        <w:tc>
          <w:tcPr>
            <w:tcW w:w="709" w:type="dxa"/>
            <w:vAlign w:val="center"/>
          </w:tcPr>
          <w:p>
            <w:pPr>
              <w:rPr>
                <w:lang w:eastAsia="ja-JP"/>
              </w:rPr>
            </w:pPr>
          </w:p>
        </w:tc>
        <w:tc>
          <w:tcPr>
            <w:tcW w:w="1551" w:type="dxa"/>
            <w:vAlign w:val="center"/>
          </w:tcPr>
          <w:p>
            <w:pPr>
              <w:rPr>
                <w:lang w:eastAsia="ja-JP"/>
              </w:rPr>
            </w:pPr>
          </w:p>
        </w:tc>
        <w:tc>
          <w:tcPr>
            <w:tcW w:w="192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由一阶段的“</w:t>
            </w:r>
            <w:r>
              <w:t>阿维霉素的生产所涉及的能源管理活动</w:t>
            </w:r>
            <w:r>
              <w:rPr>
                <w:rFonts w:hint="eastAsia"/>
                <w:lang w:val="en-US" w:eastAsia="zh-CN"/>
              </w:rPr>
              <w:t>”变更为“</w:t>
            </w:r>
            <w:r>
              <w:t>阿维</w:t>
            </w:r>
            <w:r>
              <w:rPr>
                <w:rFonts w:hint="eastAsia"/>
                <w:lang w:val="en-US" w:eastAsia="zh-CN"/>
              </w:rPr>
              <w:t>菌</w:t>
            </w:r>
            <w:r>
              <w:t>素的生产所涉及的能源管理活动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982345" cy="319405"/>
                  <wp:effectExtent l="0" t="0" r="0" b="10795"/>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9"/>
                          <a:stretch>
                            <a:fillRect/>
                          </a:stretch>
                        </pic:blipFill>
                        <pic:spPr>
                          <a:xfrm>
                            <a:off x="0" y="0"/>
                            <a:ext cx="982345" cy="31940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综合部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能源管理团队负责人是——</w:t>
            </w:r>
            <w:r>
              <w:rPr>
                <w:rFonts w:hint="eastAsia"/>
                <w:lang w:val="en-US" w:eastAsia="zh-CN"/>
              </w:rPr>
              <w:t>白晓光；</w:t>
            </w:r>
            <w:r>
              <w:rPr>
                <w:rFonts w:hint="eastAsia"/>
              </w:rPr>
              <w:t>管理者代表</w:t>
            </w:r>
            <w:r>
              <w:rPr>
                <w:rFonts w:hint="eastAsia"/>
                <w:lang w:eastAsia="zh-CN"/>
              </w:rPr>
              <w:t>——</w:t>
            </w:r>
            <w:r>
              <w:rPr>
                <w:rFonts w:hint="eastAsia"/>
                <w:highlight w:val="none"/>
                <w:lang w:val="en-US" w:eastAsia="zh-CN"/>
              </w:rPr>
              <w:t>李少伟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sym w:font="Wingdings 2" w:char="00A3"/>
            </w:r>
            <w:r>
              <w:rPr>
                <w:rFonts w:hint="eastAsia"/>
              </w:rPr>
              <w:t>其他</w:t>
            </w:r>
            <w:r>
              <w:rPr>
                <w:rFonts w:hint="eastAsia"/>
                <w:lang w:val="en-US" w:eastAsia="zh-CN"/>
              </w:rPr>
              <w:t>——生物质燃料</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2022.3.10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601"/>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60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zh-CN" w:eastAsia="zh-CN" w:bidi="ar-SA"/>
                    </w:rPr>
                    <w:t>综合能耗：</w:t>
                  </w:r>
                  <w:r>
                    <w:rPr>
                      <w:rFonts w:hint="eastAsia"/>
                      <w:highlight w:val="none"/>
                      <w:lang w:val="en-US" w:eastAsia="zh-CN"/>
                    </w:rPr>
                    <w:t>5769.10tce</w:t>
                  </w:r>
                </w:p>
                <w:p>
                  <w:pPr>
                    <w:widowControl/>
                    <w:spacing w:before="40"/>
                    <w:jc w:val="left"/>
                    <w:rPr>
                      <w:rFonts w:hint="eastAsia" w:ascii="Times New Roman" w:hAnsi="Times New Roman" w:eastAsia="宋体" w:cs="Times New Roman"/>
                      <w:kern w:val="2"/>
                      <w:sz w:val="21"/>
                      <w:szCs w:val="24"/>
                      <w:highlight w:val="yellow"/>
                      <w:lang w:val="en-US" w:eastAsia="zh-CN" w:bidi="ar-SA"/>
                    </w:rPr>
                  </w:pPr>
                </w:p>
              </w:tc>
              <w:tc>
                <w:tcPr>
                  <w:tcW w:w="260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ind w:left="210" w:hanging="210" w:hangingChars="10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rPr>
                    <w:t>2021</w:t>
                  </w:r>
                  <w:r>
                    <w:rPr>
                      <w:rFonts w:hint="eastAsia"/>
                      <w:color w:val="000000"/>
                      <w:szCs w:val="18"/>
                      <w:highlight w:val="none"/>
                      <w:lang w:val="en-US" w:eastAsia="zh-CN"/>
                    </w:rPr>
                    <w:t>较2020年有上升，未完成指标</w:t>
                  </w:r>
                </w:p>
                <w:p>
                  <w:pPr>
                    <w:widowControl/>
                    <w:spacing w:before="40"/>
                    <w:jc w:val="left"/>
                    <w:rPr>
                      <w:rFonts w:ascii="宋体" w:hAnsi="宋体" w:eastAsia="宋体" w:cs="Times New Roman"/>
                      <w:kern w:val="2"/>
                      <w:sz w:val="21"/>
                      <w:szCs w:val="24"/>
                      <w:highlight w:val="none"/>
                      <w:lang w:val="en-GB" w:eastAsia="zh-CN" w:bidi="ar-SA"/>
                    </w:rPr>
                  </w:pPr>
                  <w:r>
                    <w:rPr>
                      <w:rFonts w:hint="eastAsia"/>
                      <w:color w:val="000000"/>
                      <w:szCs w:val="18"/>
                      <w:highlight w:val="none"/>
                    </w:rPr>
                    <w:t>2021</w:t>
                  </w:r>
                  <w:r>
                    <w:rPr>
                      <w:rFonts w:hint="eastAsia"/>
                      <w:color w:val="000000"/>
                      <w:szCs w:val="18"/>
                      <w:highlight w:val="none"/>
                      <w:lang w:val="en-US" w:eastAsia="zh-CN"/>
                    </w:rPr>
                    <w:t>年实际完成</w:t>
                  </w:r>
                  <w:r>
                    <w:rPr>
                      <w:rFonts w:hint="eastAsia" w:ascii="Times New Roman" w:hAnsi="Times New Roman" w:eastAsia="宋体" w:cs="Times New Roman"/>
                      <w:bCs w:val="0"/>
                      <w:spacing w:val="0"/>
                      <w:kern w:val="2"/>
                      <w:sz w:val="21"/>
                      <w:szCs w:val="22"/>
                      <w:highlight w:val="none"/>
                      <w:lang w:val="en-US" w:eastAsia="zh-CN" w:bidi="ar-SA"/>
                    </w:rPr>
                    <w:t>7394.56</w:t>
                  </w:r>
                  <w:r>
                    <w:rPr>
                      <w:rFonts w:hint="eastAsia" w:ascii="Times New Roman" w:hAnsi="Times New Roman" w:eastAsia="宋体" w:cs="Times New Roman"/>
                      <w:color w:val="000000"/>
                      <w:szCs w:val="18"/>
                      <w:highlight w:val="none"/>
                      <w:lang w:val="en-US" w:eastAsia="zh-CN"/>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4"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单位产品综合能耗：51.44 tce/t</w:t>
                  </w:r>
                </w:p>
                <w:p>
                  <w:pPr>
                    <w:widowControl/>
                    <w:spacing w:before="40"/>
                    <w:jc w:val="left"/>
                    <w:rPr>
                      <w:rFonts w:ascii="Times New Roman" w:hAnsi="Times New Roman" w:eastAsia="宋体" w:cs="Times New Roman"/>
                      <w:kern w:val="2"/>
                      <w:sz w:val="21"/>
                      <w:szCs w:val="24"/>
                      <w:highlight w:val="yellow"/>
                      <w:lang w:val="en-US" w:eastAsia="zh-CN" w:bidi="ar-SA"/>
                    </w:rPr>
                  </w:pPr>
                </w:p>
              </w:tc>
              <w:tc>
                <w:tcPr>
                  <w:tcW w:w="2601"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生产部/综合部</w:t>
                  </w:r>
                </w:p>
              </w:tc>
              <w:tc>
                <w:tcPr>
                  <w:tcW w:w="2797" w:type="dxa"/>
                  <w:shd w:val="clear" w:color="auto" w:fill="auto"/>
                  <w:vAlign w:val="top"/>
                </w:tcPr>
                <w:p>
                  <w:pPr>
                    <w:widowControl/>
                    <w:spacing w:before="40"/>
                    <w:jc w:val="left"/>
                    <w:rPr>
                      <w:rFonts w:hint="eastAsia"/>
                      <w:lang w:val="en-US" w:eastAsia="zh-CN"/>
                    </w:rPr>
                  </w:pPr>
                  <w:r>
                    <w:rPr>
                      <w:rFonts w:hint="eastAsia"/>
                    </w:rPr>
                    <w:t>2021年</w:t>
                  </w:r>
                  <w:r>
                    <w:rPr>
                      <w:rFonts w:hint="eastAsia"/>
                      <w:lang w:val="en-US" w:eastAsia="zh-CN"/>
                    </w:rPr>
                    <w:t>实际完成51.67 tce/t</w:t>
                  </w:r>
                </w:p>
                <w:p>
                  <w:pPr>
                    <w:pStyle w:val="2"/>
                    <w:rPr>
                      <w:rFonts w:hint="default"/>
                      <w:lang w:val="en-US" w:eastAsia="zh-CN"/>
                    </w:rPr>
                  </w:pPr>
                  <w:r>
                    <w:rPr>
                      <w:rFonts w:hint="eastAsia" w:ascii="Times New Roman" w:hAnsi="Times New Roman" w:eastAsia="宋体" w:cs="Times New Roman"/>
                      <w:bCs w:val="0"/>
                      <w:spacing w:val="0"/>
                      <w:kern w:val="2"/>
                      <w:sz w:val="21"/>
                      <w:szCs w:val="22"/>
                      <w:highlight w:val="none"/>
                      <w:lang w:val="en-US" w:eastAsia="zh-CN" w:bidi="ar-SA"/>
                    </w:rPr>
                    <w:t>略高于指标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单位产值综合能耗：0.67tce/万元</w:t>
                  </w:r>
                </w:p>
                <w:p>
                  <w:pPr>
                    <w:widowControl/>
                    <w:spacing w:before="40"/>
                    <w:jc w:val="left"/>
                    <w:rPr>
                      <w:highlight w:val="yellow"/>
                    </w:rPr>
                  </w:pPr>
                </w:p>
              </w:tc>
              <w:tc>
                <w:tcPr>
                  <w:tcW w:w="2601"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综合部</w:t>
                  </w:r>
                </w:p>
              </w:tc>
              <w:tc>
                <w:tcPr>
                  <w:tcW w:w="2797" w:type="dxa"/>
                  <w:shd w:val="clear" w:color="auto" w:fill="auto"/>
                  <w:vAlign w:val="top"/>
                </w:tcPr>
                <w:p>
                  <w:pPr>
                    <w:widowControl/>
                    <w:spacing w:before="40"/>
                    <w:jc w:val="left"/>
                    <w:rPr>
                      <w:rFonts w:hint="default" w:ascii="宋体" w:hAnsi="宋体"/>
                      <w:highlight w:val="none"/>
                      <w:lang w:val="en-US"/>
                    </w:rPr>
                  </w:pPr>
                  <w:r>
                    <w:rPr>
                      <w:rFonts w:hint="eastAsia"/>
                      <w:color w:val="000000"/>
                      <w:szCs w:val="18"/>
                      <w:highlight w:val="none"/>
                    </w:rPr>
                    <w:t>2021年</w:t>
                  </w:r>
                  <w:r>
                    <w:rPr>
                      <w:rFonts w:hint="eastAsia"/>
                      <w:color w:val="000000"/>
                      <w:szCs w:val="18"/>
                      <w:highlight w:val="none"/>
                      <w:lang w:val="en-US" w:eastAsia="zh-CN"/>
                    </w:rPr>
                    <w:t>实际完成</w:t>
                  </w:r>
                  <w:r>
                    <w:rPr>
                      <w:rFonts w:hint="eastAsia" w:ascii="Times New Roman" w:hAnsi="Times New Roman" w:eastAsia="宋体" w:cs="Times New Roman"/>
                      <w:bCs w:val="0"/>
                      <w:spacing w:val="0"/>
                      <w:kern w:val="2"/>
                      <w:sz w:val="21"/>
                      <w:szCs w:val="22"/>
                      <w:highlight w:val="none"/>
                      <w:lang w:val="en-US" w:eastAsia="zh-CN" w:bidi="ar-SA"/>
                    </w:rPr>
                    <w:t>0.66tce/万元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。综合能耗有上升，未分析原因已作为问题项与企业进行了沟通</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4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highlight w:val="none"/>
                <w:lang w:val="en-US" w:eastAsia="zh-CN"/>
              </w:rPr>
              <w:t>3000</w:t>
            </w:r>
            <w:r>
              <w:rPr>
                <w:rFonts w:hint="eastAsia"/>
              </w:rPr>
              <w:t>平方米；生产</w:t>
            </w:r>
            <w:r>
              <w:rPr>
                <w:rFonts w:hint="eastAsia"/>
                <w:lang w:val="en-US" w:eastAsia="zh-CN"/>
              </w:rPr>
              <w:t>车间6</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发酵罐</w:t>
            </w:r>
            <w:r>
              <w:rPr>
                <w:rFonts w:hint="eastAsia"/>
                <w:color w:val="000000"/>
                <w:szCs w:val="22"/>
                <w:u w:val="single"/>
              </w:rPr>
              <w:t>、</w:t>
            </w:r>
            <w:r>
              <w:rPr>
                <w:rFonts w:hint="eastAsia"/>
                <w:color w:val="000000"/>
                <w:szCs w:val="22"/>
                <w:u w:val="single"/>
                <w:lang w:val="en-US" w:eastAsia="zh-CN"/>
              </w:rPr>
              <w:t>蒸发冷螺杆式冷水机组</w:t>
            </w:r>
            <w:r>
              <w:rPr>
                <w:rFonts w:hint="eastAsia"/>
                <w:color w:val="000000"/>
                <w:szCs w:val="22"/>
                <w:u w:val="single"/>
              </w:rPr>
              <w:t>、</w:t>
            </w:r>
            <w:r>
              <w:rPr>
                <w:rFonts w:hint="eastAsia"/>
                <w:color w:val="000000"/>
                <w:szCs w:val="22"/>
                <w:u w:val="single"/>
                <w:lang w:val="en-US" w:eastAsia="zh-CN"/>
              </w:rPr>
              <w:t>封闭式冷水机组</w:t>
            </w:r>
            <w:r>
              <w:rPr>
                <w:rFonts w:hint="eastAsia"/>
                <w:color w:val="000000"/>
                <w:szCs w:val="22"/>
                <w:u w:val="single"/>
              </w:rPr>
              <w:t>、</w:t>
            </w:r>
            <w:r>
              <w:rPr>
                <w:rFonts w:hint="eastAsia"/>
                <w:color w:val="000000"/>
                <w:szCs w:val="22"/>
                <w:u w:val="single"/>
                <w:lang w:val="en-US" w:eastAsia="zh-CN"/>
              </w:rPr>
              <w:t>离心式鼓风机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lang w:val="en-US" w:eastAsia="zh-CN"/>
              </w:rPr>
              <w:t>生物质燃料锅炉</w:t>
            </w:r>
            <w:r>
              <w:rPr>
                <w:rFonts w:hint="eastAsia"/>
                <w:sz w:val="21"/>
                <w:szCs w:val="21"/>
                <w:u w:val="single"/>
                <w:lang w:val="en-US" w:eastAsia="zh-CN"/>
              </w:rPr>
              <w:t>、</w:t>
            </w:r>
            <w:r>
              <w:rPr>
                <w:rFonts w:hint="eastAsia"/>
                <w:color w:val="000000"/>
                <w:szCs w:val="22"/>
                <w:u w:val="single"/>
                <w:lang w:val="en-US" w:eastAsia="zh-CN"/>
              </w:rPr>
              <w:t>空压机、天然气锅炉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水表、地秤</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52"/>
            </w:r>
            <w:r>
              <w:rPr>
                <w:rFonts w:hint="eastAsia" w:ascii="Wingdings" w:hAnsi="Wingdings"/>
                <w:highlight w:val="none"/>
                <w:lang w:val="en-US" w:eastAsia="zh-CN"/>
              </w:rPr>
              <w:t>地秤</w:t>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ascii="Wingdings" w:hAnsi="Wingdings"/>
                <w:lang w:val="en-US" w:eastAsia="zh-CN"/>
              </w:rPr>
              <w:t>水表</w:t>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一级电表</w:t>
            </w:r>
            <w:r>
              <w:rPr>
                <w:rFonts w:hint="eastAsia"/>
                <w:highlight w:val="none"/>
                <w:lang w:val="en-US" w:eastAsia="zh-CN"/>
              </w:rPr>
              <w:t>由供电局安装的，资产属于供电局，检定也是由供电局检定</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A3"/>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空压系统优化调整</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加强设备设施管理节约用气</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加强节电管理，提高用电设备效率</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highlight w:val="none"/>
                <w:lang w:eastAsia="zh-CN"/>
              </w:rPr>
              <w:sym w:font="Wingdings 2" w:char="0052"/>
            </w:r>
            <w:r>
              <w:rPr>
                <w:rFonts w:hint="eastAsia"/>
                <w:highlight w:val="none"/>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目前未开展，建议企业结合实际适时开展。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20-21</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223"/>
        <w:gridCol w:w="780"/>
        <w:gridCol w:w="740"/>
        <w:gridCol w:w="760"/>
        <w:gridCol w:w="770"/>
        <w:gridCol w:w="730"/>
        <w:gridCol w:w="770"/>
        <w:gridCol w:w="860"/>
        <w:gridCol w:w="780"/>
        <w:gridCol w:w="77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30" w:type="dxa"/>
            <w:shd w:val="clear" w:color="auto" w:fill="EBF1DE" w:themeFill="accent3" w:themeFillTint="32"/>
            <w:vAlign w:val="center"/>
          </w:tcPr>
          <w:p>
            <w:pPr>
              <w:shd w:val="clear" w:color="auto" w:fill="EBF1DE" w:themeFill="accent3" w:themeFillTint="32"/>
            </w:pPr>
            <w:r>
              <w:rPr>
                <w:rFonts w:hint="eastAsia"/>
              </w:rPr>
              <w:t>7.2</w:t>
            </w:r>
          </w:p>
        </w:tc>
        <w:tc>
          <w:tcPr>
            <w:tcW w:w="770" w:type="dxa"/>
            <w:shd w:val="clear" w:color="auto" w:fill="EBF1DE" w:themeFill="accent3" w:themeFillTint="32"/>
            <w:vAlign w:val="center"/>
          </w:tcPr>
          <w:p>
            <w:pPr>
              <w:shd w:val="clear" w:color="auto" w:fill="EBF1DE" w:themeFill="accent3" w:themeFillTint="32"/>
            </w:pPr>
            <w:r>
              <w:rPr>
                <w:rFonts w:hint="eastAsia"/>
              </w:rPr>
              <w:t>7.3</w:t>
            </w:r>
          </w:p>
        </w:tc>
        <w:tc>
          <w:tcPr>
            <w:tcW w:w="860" w:type="dxa"/>
            <w:shd w:val="clear" w:color="auto" w:fill="EBF1DE" w:themeFill="accent3" w:themeFillTint="32"/>
            <w:vAlign w:val="center"/>
          </w:tcPr>
          <w:p>
            <w:pPr>
              <w:shd w:val="clear" w:color="auto" w:fill="EBF1DE" w:themeFill="accent3" w:themeFillTint="32"/>
            </w:pPr>
            <w:r>
              <w:rPr>
                <w:rFonts w:hint="eastAsia"/>
              </w:rPr>
              <w:t>7.4</w:t>
            </w:r>
          </w:p>
        </w:tc>
        <w:tc>
          <w:tcPr>
            <w:tcW w:w="780" w:type="dxa"/>
            <w:shd w:val="clear" w:color="auto" w:fill="EBF1DE" w:themeFill="accent3" w:themeFillTint="32"/>
            <w:vAlign w:val="center"/>
          </w:tcPr>
          <w:p>
            <w:pPr>
              <w:shd w:val="clear" w:color="auto" w:fill="EBF1DE" w:themeFill="accent3" w:themeFillTint="32"/>
            </w:pPr>
            <w:r>
              <w:rPr>
                <w:rFonts w:hint="eastAsia"/>
              </w:rPr>
              <w:t>7.5</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pPr>
          </w:p>
        </w:tc>
        <w:tc>
          <w:tcPr>
            <w:tcW w:w="740" w:type="dxa"/>
            <w:shd w:val="clear" w:color="auto" w:fill="EBF1DE" w:themeFill="accent3" w:themeFillTint="32"/>
            <w:vAlign w:val="center"/>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0" w:type="dxa"/>
            <w:shd w:val="clear" w:color="auto" w:fill="EBF1DE" w:themeFill="accent3" w:themeFillTint="32"/>
            <w:vAlign w:val="center"/>
          </w:tcPr>
          <w:p>
            <w:pPr>
              <w:shd w:val="clear" w:color="auto" w:fill="EBF1DE" w:themeFill="accent3" w:themeFillTint="32"/>
            </w:pPr>
            <w:r>
              <w:rPr>
                <w:rFonts w:hint="eastAsia"/>
              </w:rPr>
              <w:t>8.3</w:t>
            </w:r>
          </w:p>
        </w:tc>
        <w:tc>
          <w:tcPr>
            <w:tcW w:w="7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6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7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22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40" w:type="dxa"/>
            <w:shd w:val="clear" w:color="auto" w:fill="EBF1DE" w:themeFill="accent3" w:themeFillTint="32"/>
          </w:tcPr>
          <w:p>
            <w:pPr>
              <w:shd w:val="clear" w:color="auto" w:fill="EBF1DE" w:themeFill="accent3" w:themeFillTint="32"/>
              <w:rPr>
                <w:lang w:eastAsia="ja-JP"/>
              </w:rPr>
            </w:pPr>
          </w:p>
        </w:tc>
        <w:tc>
          <w:tcPr>
            <w:tcW w:w="76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0" w:type="dxa"/>
            <w:shd w:val="clear" w:color="auto" w:fill="EBF1DE" w:themeFill="accent3" w:themeFillTint="32"/>
            <w:vAlign w:val="center"/>
          </w:tcPr>
          <w:p>
            <w:pPr>
              <w:shd w:val="clear" w:color="auto" w:fill="EBF1DE" w:themeFill="accent3" w:themeFillTint="32"/>
              <w:rPr>
                <w:lang w:eastAsia="ja-JP"/>
              </w:rPr>
            </w:pPr>
          </w:p>
        </w:tc>
        <w:tc>
          <w:tcPr>
            <w:tcW w:w="6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557B8F"/>
    <w:rsid w:val="5D6F0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2022-05-11T09:53:08Z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