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  <w:lang w:eastAsia="zh-CN"/>
        </w:rPr>
      </w:pPr>
    </w:p>
    <w:p>
      <w:pPr>
        <w:rPr>
          <w:rFonts w:hint="eastAsia"/>
          <w:b/>
          <w:sz w:val="22"/>
          <w:szCs w:val="22"/>
          <w:lang w:eastAsia="zh-CN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无锡市恒通电器有限公司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线路板贴片 →回流焊 →波峰焊 →清洗→调试→防漆涂覆 →整机装配→整机测试 →包装；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天然气（用于食堂）、汽油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119-2015 能源管理体系 机械制造企业认证要求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bookmarkStart w:id="1" w:name="_GoBack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产品标准：GB/T 17215.211电测量设备（交流）通用要求、试验和试验条件 第11部分：测量设备；GB/T 17215. 321电测量设备（交流）特殊要求 第21部分：静止式有功电能表（A级、B级、C 级、D级和E级）</w:t>
            </w:r>
          </w:p>
          <w:bookmarkEnd w:id="1"/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-454660</wp:posOffset>
                  </wp:positionV>
                  <wp:extent cx="1305560" cy="576580"/>
                  <wp:effectExtent l="0" t="0" r="2540" b="7620"/>
                  <wp:wrapSquare wrapText="bothSides"/>
                  <wp:docPr id="3" name="图片 3" descr="1056763f4e5bd04306ddf3b9b95c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056763f4e5bd04306ddf3b9b95cbe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9B64F0"/>
    <w:rsid w:val="6BDB2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2022-04-28T01:14:59Z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