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0380-2022-EnMs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无锡市恒通电器有限公司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2022年04月24日 上午至2022年04月24日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rPr>
                <w:rFonts w:hint="eastAsia" w:ascii="宋体" w:hAnsi="宋体"/>
                <w:b/>
                <w:sz w:val="21"/>
                <w:szCs w:val="21"/>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w:t>
            </w:r>
            <w:r>
              <w:rPr>
                <w:rFonts w:hint="eastAsia" w:ascii="宋体" w:hAnsi="宋体"/>
                <w:b/>
                <w:sz w:val="21"/>
                <w:szCs w:val="21"/>
                <w:lang w:val="de-DE"/>
              </w:rPr>
              <w:t xml:space="preserve">RB/T </w:t>
            </w:r>
            <w:r>
              <w:rPr>
                <w:rFonts w:hint="eastAsia" w:ascii="宋体" w:hAnsi="宋体"/>
                <w:b/>
                <w:sz w:val="21"/>
                <w:szCs w:val="21"/>
              </w:rPr>
              <w:t>119-2015 能源管理体系 机械制造企业认证要求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河北省石家庄市/深圳市/江苏省无锡市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徐申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ISC-JSZJ-526</w:t>
            </w:r>
          </w:p>
          <w:p>
            <w:pPr>
              <w:spacing w:line="240" w:lineRule="exact"/>
              <w:jc w:val="center"/>
              <w:rPr>
                <w:b/>
                <w:color w:val="000000"/>
                <w:szCs w:val="21"/>
              </w:rPr>
            </w:pPr>
            <w:r>
              <w:rPr>
                <w:b/>
                <w:color w:val="000000"/>
                <w:szCs w:val="21"/>
              </w:rPr>
              <w:t>无锡先锋电机有限公司</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无锡市恒通电器有限公司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无锡市滨湖区太湖街道周新东路68号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214121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江苏省无锡市滨湖区太湖街道周新东路68号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214121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吴滨</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13806193561</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秦冬雷</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吴滨</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智能电表</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售后服务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hAnsi="宋体" w:eastAsia="宋体" w:cs="Times New Roman"/>
                <w:b/>
                <w:color w:val="000000"/>
                <w:szCs w:val="21"/>
                <w:lang w:val="en-US" w:eastAsia="zh-CN"/>
              </w:rPr>
            </w:pPr>
            <w:r>
              <w:rPr>
                <w:rFonts w:hint="eastAsia" w:ascii="宋体" w:hAnsi="宋体" w:eastAsia="宋体" w:cs="Times New Roman"/>
                <w:b/>
                <w:color w:val="000000"/>
                <w:szCs w:val="21"/>
                <w:lang w:val="en-US" w:eastAsia="zh-CN"/>
              </w:rPr>
              <w:t>线路板贴片 →回流焊 →波峰焊 →清洗→调试→防漆涂覆 →整机装配→整机测试 →包装；</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rPr>
                <w:rFonts w:hint="eastAsia" w:ascii="宋体" w:hAnsi="宋体" w:eastAsia="宋体" w:cs="Times New Roman"/>
                <w:b/>
                <w:color w:val="000000"/>
                <w:szCs w:val="21"/>
                <w:lang w:val="en-US" w:eastAsia="zh-CN"/>
              </w:rPr>
              <w:t>智能电表生产所涉及的能源管理活动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11"/>
        <w:gridCol w:w="11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1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6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无锡市恒通电器有限公司</w:t>
            </w:r>
            <w:r>
              <w:rPr>
                <w:rFonts w:hint="eastAsia"/>
                <w:sz w:val="21"/>
                <w:szCs w:val="21"/>
                <w:lang w:val="en-US" w:eastAsia="zh-CN"/>
              </w:rPr>
              <w:t>/</w:t>
            </w:r>
            <w:r>
              <w:rPr>
                <w:sz w:val="21"/>
                <w:szCs w:val="21"/>
              </w:rPr>
              <w:t>江苏省无锡市滨湖区太湖街道周新东路68号</w:t>
            </w:r>
          </w:p>
        </w:tc>
        <w:tc>
          <w:tcPr>
            <w:tcW w:w="2267" w:type="dxa"/>
          </w:tcPr>
          <w:p>
            <w:pPr>
              <w:spacing w:before="40" w:after="40"/>
              <w:rPr>
                <w:rFonts w:eastAsia="黑体"/>
                <w:szCs w:val="21"/>
                <w:lang w:val="de-DE" w:eastAsia="ja-JP"/>
              </w:rPr>
            </w:pPr>
            <w:r>
              <w:rPr>
                <w:sz w:val="21"/>
                <w:szCs w:val="21"/>
              </w:rPr>
              <w:t>江苏省无锡市滨湖区太湖街道周新东路68号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140</w:t>
            </w:r>
          </w:p>
        </w:tc>
        <w:tc>
          <w:tcPr>
            <w:tcW w:w="2311" w:type="dxa"/>
            <w:vAlign w:val="center"/>
          </w:tcPr>
          <w:p>
            <w:pPr>
              <w:pStyle w:val="19"/>
              <w:rPr>
                <w:rFonts w:eastAsia="黑体" w:cs="Arial"/>
                <w:sz w:val="21"/>
                <w:szCs w:val="21"/>
                <w:lang w:val="en-US" w:eastAsia="ja-JP"/>
              </w:rPr>
            </w:pPr>
            <w:r>
              <w:rPr>
                <w:rFonts w:hint="eastAsia" w:ascii="Times New Roman" w:hAnsi="Times New Roman" w:eastAsia="宋体" w:cs="Times New Roman"/>
                <w:kern w:val="2"/>
                <w:sz w:val="21"/>
                <w:szCs w:val="21"/>
                <w:lang w:val="en-US" w:eastAsia="zh-CN" w:bidi="ar-SA"/>
              </w:rPr>
              <w:t>智能电表生产所涉及的能源管理活动</w:t>
            </w:r>
          </w:p>
        </w:tc>
        <w:tc>
          <w:tcPr>
            <w:tcW w:w="1161"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default" w:eastAsia="黑体"/>
                <w:szCs w:val="21"/>
                <w:lang w:val="en-US" w:eastAsia="zh-CN"/>
              </w:rPr>
            </w:pPr>
            <w:r>
              <w:rPr>
                <w:rFonts w:hint="eastAsia" w:eastAsia="黑体"/>
                <w:szCs w:val="21"/>
                <w:lang w:val="en-US" w:eastAsia="zh-CN"/>
              </w:rPr>
              <w:t>RB/T119-2015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11" w:type="dxa"/>
            <w:vAlign w:val="center"/>
          </w:tcPr>
          <w:p>
            <w:pPr>
              <w:spacing w:before="40" w:after="40"/>
              <w:rPr>
                <w:rFonts w:eastAsia="黑体"/>
                <w:szCs w:val="21"/>
                <w:lang w:eastAsia="ja-JP"/>
              </w:rPr>
            </w:pPr>
          </w:p>
        </w:tc>
        <w:tc>
          <w:tcPr>
            <w:tcW w:w="116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11" w:type="dxa"/>
            <w:vAlign w:val="center"/>
          </w:tcPr>
          <w:p>
            <w:pPr>
              <w:spacing w:before="40" w:after="40"/>
              <w:rPr>
                <w:rFonts w:eastAsia="黑体"/>
                <w:szCs w:val="21"/>
                <w:lang w:eastAsia="ja-JP"/>
              </w:rPr>
            </w:pPr>
          </w:p>
        </w:tc>
        <w:tc>
          <w:tcPr>
            <w:tcW w:w="116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11" w:type="dxa"/>
            <w:vAlign w:val="center"/>
          </w:tcPr>
          <w:p>
            <w:pPr>
              <w:spacing w:before="40" w:after="40"/>
              <w:rPr>
                <w:rFonts w:eastAsia="黑体"/>
                <w:szCs w:val="21"/>
                <w:lang w:eastAsia="ja-JP"/>
              </w:rPr>
            </w:pPr>
          </w:p>
        </w:tc>
        <w:tc>
          <w:tcPr>
            <w:tcW w:w="116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11" w:type="dxa"/>
            <w:vAlign w:val="center"/>
          </w:tcPr>
          <w:p>
            <w:pPr>
              <w:spacing w:before="40" w:after="40"/>
              <w:rPr>
                <w:rFonts w:eastAsia="黑体"/>
                <w:szCs w:val="21"/>
                <w:lang w:eastAsia="ja-JP"/>
              </w:rPr>
            </w:pPr>
          </w:p>
        </w:tc>
        <w:tc>
          <w:tcPr>
            <w:tcW w:w="116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highlight w:val="none"/>
                <w:lang w:val="en-US" w:eastAsia="zh-CN"/>
              </w:rPr>
              <w:t>2022</w:t>
            </w:r>
            <w:r>
              <w:rPr>
                <w:rFonts w:hint="eastAsia" w:ascii="宋体" w:hAnsi="宋体"/>
                <w:b/>
                <w:color w:val="000000"/>
                <w:szCs w:val="21"/>
                <w:highlight w:val="none"/>
                <w:u w:val="single"/>
              </w:rPr>
              <w:t>年</w:t>
            </w:r>
            <w:r>
              <w:rPr>
                <w:rFonts w:hint="eastAsia" w:ascii="宋体" w:hAnsi="宋体"/>
                <w:b/>
                <w:color w:val="000000"/>
                <w:szCs w:val="21"/>
                <w:highlight w:val="none"/>
                <w:u w:val="single"/>
                <w:lang w:val="en-US" w:eastAsia="zh-CN"/>
              </w:rPr>
              <w:t>1</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highlight w:val="none"/>
                <w:lang w:val="en-US" w:eastAsia="zh-CN"/>
              </w:rPr>
              <w:t>2022</w:t>
            </w:r>
            <w:r>
              <w:rPr>
                <w:rFonts w:hint="eastAsia" w:ascii="宋体" w:hAnsi="宋体" w:eastAsia="宋体"/>
                <w:color w:val="000000"/>
                <w:sz w:val="21"/>
                <w:szCs w:val="21"/>
                <w:highlight w:val="none"/>
                <w:u w:val="single"/>
                <w:lang w:val="en-US" w:eastAsia="zh-CN"/>
              </w:rPr>
              <w:t>年1月20日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eastAsia"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A3"/>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A3"/>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初步定于2022-04-</w:t>
            </w:r>
            <w:r>
              <w:rPr>
                <w:rFonts w:hint="eastAsia" w:ascii="宋体"/>
                <w:b/>
                <w:color w:val="000000"/>
                <w:szCs w:val="21"/>
                <w:lang w:val="en-US" w:eastAsia="zh-CN"/>
              </w:rPr>
              <w:t>28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default" w:ascii="宋体" w:hAnsi="宋体" w:eastAsia="宋体"/>
                <w:b/>
                <w:color w:val="000000"/>
                <w:szCs w:val="21"/>
                <w:lang w:val="en-US" w:eastAsia="zh-CN"/>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default"/>
          <w:sz w:val="22"/>
          <w:szCs w:val="22"/>
          <w:lang w:val="en-US"/>
        </w:rPr>
        <w:drawing>
          <wp:anchor distT="0" distB="0" distL="114300" distR="114300" simplePos="0" relativeHeight="251694080" behindDoc="0" locked="0" layoutInCell="1" allowOverlap="1">
            <wp:simplePos x="0" y="0"/>
            <wp:positionH relativeFrom="column">
              <wp:posOffset>4186555</wp:posOffset>
            </wp:positionH>
            <wp:positionV relativeFrom="paragraph">
              <wp:posOffset>152400</wp:posOffset>
            </wp:positionV>
            <wp:extent cx="855345" cy="633730"/>
            <wp:effectExtent l="0" t="0" r="8255" b="1270"/>
            <wp:wrapSquare wrapText="bothSides"/>
            <wp:docPr id="2" name="图片 2" descr="1056763f4e5bd04306ddf3b9b95cb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56763f4e5bd04306ddf3b9b95cbe3"/>
                    <pic:cNvPicPr>
                      <a:picLocks noChangeAspect="1"/>
                    </pic:cNvPicPr>
                  </pic:nvPicPr>
                  <pic:blipFill>
                    <a:blip r:embed="rId6"/>
                    <a:stretch>
                      <a:fillRect/>
                    </a:stretch>
                  </pic:blipFill>
                  <pic:spPr>
                    <a:xfrm>
                      <a:off x="0" y="0"/>
                      <a:ext cx="855345" cy="63373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96128" behindDoc="0" locked="0" layoutInCell="1" allowOverlap="1">
            <wp:simplePos x="0" y="0"/>
            <wp:positionH relativeFrom="column">
              <wp:posOffset>1779905</wp:posOffset>
            </wp:positionH>
            <wp:positionV relativeFrom="paragraph">
              <wp:posOffset>252095</wp:posOffset>
            </wp:positionV>
            <wp:extent cx="895350" cy="319405"/>
            <wp:effectExtent l="0" t="0" r="0" b="10795"/>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7"/>
                    <a:stretch>
                      <a:fillRect/>
                    </a:stretch>
                  </pic:blipFill>
                  <pic:spPr>
                    <a:xfrm>
                      <a:off x="0" y="0"/>
                      <a:ext cx="895350" cy="3194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default" w:eastAsia="宋体"/>
          <w:lang w:val="en-US" w:eastAsia="zh-CN"/>
        </w:rPr>
        <w:drawing>
          <wp:anchor distT="0" distB="0" distL="114300" distR="114300" simplePos="0" relativeHeight="251698176" behindDoc="0" locked="0" layoutInCell="1" allowOverlap="1">
            <wp:simplePos x="0" y="0"/>
            <wp:positionH relativeFrom="column">
              <wp:posOffset>5164455</wp:posOffset>
            </wp:positionH>
            <wp:positionV relativeFrom="paragraph">
              <wp:posOffset>-152400</wp:posOffset>
            </wp:positionV>
            <wp:extent cx="539115" cy="353695"/>
            <wp:effectExtent l="0" t="0" r="6985" b="1905"/>
            <wp:wrapSquare wrapText="bothSides"/>
            <wp:docPr id="3" name="图片 1"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611b729e1be843596d3adf8c2569b2"/>
                    <pic:cNvPicPr>
                      <a:picLocks noChangeAspect="1"/>
                    </pic:cNvPicPr>
                  </pic:nvPicPr>
                  <pic:blipFill>
                    <a:blip r:embed="rId8"/>
                    <a:stretch>
                      <a:fillRect/>
                    </a:stretch>
                  </pic:blipFill>
                  <pic:spPr>
                    <a:xfrm>
                      <a:off x="0" y="0"/>
                      <a:ext cx="539115" cy="353695"/>
                    </a:xfrm>
                    <a:prstGeom prst="rect">
                      <a:avLst/>
                    </a:prstGeom>
                    <a:noFill/>
                    <a:ln>
                      <a:noFill/>
                    </a:ln>
                  </pic:spPr>
                </pic:pic>
              </a:graphicData>
            </a:graphic>
          </wp:anchor>
        </w:drawing>
      </w:r>
    </w:p>
    <w:p>
      <w:pPr>
        <w:ind w:firstLine="843" w:firstLineChars="400"/>
        <w:rPr>
          <w:rFonts w:hint="default" w:ascii="宋体" w:hAnsi="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2022.4.24</w:t>
      </w:r>
    </w:p>
    <w:p>
      <w:pPr>
        <w:ind w:firstLine="843" w:firstLineChars="400"/>
        <w:rPr>
          <w:rFonts w:hint="eastAsia" w:ascii="宋体" w:hAnsi="宋体"/>
          <w:b/>
          <w:color w:val="000000"/>
          <w:szCs w:val="21"/>
          <w:lang w:val="en-US" w:eastAsia="zh-CN"/>
        </w:rPr>
      </w:pPr>
    </w:p>
    <w:p>
      <w:pPr>
        <w:ind w:firstLine="843" w:firstLineChars="400"/>
        <w:rPr>
          <w:rFonts w:hint="eastAsia" w:ascii="宋体" w:hAnsi="宋体"/>
          <w:b/>
          <w:color w:val="000000"/>
          <w:szCs w:val="21"/>
          <w:lang w:val="en-US" w:eastAsia="zh-CN"/>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无锡市恒通电器有限公司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ind w:right="600"/>
              <w:jc w:val="both"/>
              <w:rPr>
                <w:rFonts w:hint="default"/>
                <w:color w:val="000000"/>
                <w:sz w:val="21"/>
                <w:szCs w:val="21"/>
                <w:lang w:val="en-US" w:eastAsia="zh-CN"/>
              </w:rPr>
            </w:pPr>
            <w:r>
              <w:rPr>
                <w:rFonts w:hint="eastAsia"/>
                <w:color w:val="000000"/>
                <w:sz w:val="21"/>
                <w:szCs w:val="21"/>
                <w:lang w:val="en-US" w:eastAsia="zh-CN"/>
              </w:rPr>
              <w:t>法律法规清单中部分法律已失效，如：</w:t>
            </w:r>
            <w:r>
              <w:rPr>
                <w:rFonts w:hint="eastAsia" w:eastAsia="宋体" w:cs="Times New Roman"/>
                <w:color w:val="000000"/>
                <w:sz w:val="21"/>
                <w:szCs w:val="21"/>
                <w:lang w:val="en-US" w:eastAsia="zh-CN"/>
              </w:rPr>
              <w:t>设备热效率计算通则</w:t>
            </w:r>
          </w:p>
        </w:tc>
        <w:tc>
          <w:tcPr>
            <w:tcW w:w="922" w:type="dxa"/>
            <w:vAlign w:val="center"/>
          </w:tcPr>
          <w:p>
            <w:pPr>
              <w:pStyle w:val="6"/>
              <w:pBdr>
                <w:bottom w:val="none" w:color="auto" w:sz="0" w:space="0"/>
              </w:pBdr>
              <w:ind w:right="-134" w:rightChars="0"/>
              <w:jc w:val="both"/>
              <w:rPr>
                <w:rFonts w:hint="default"/>
                <w:color w:val="000000"/>
                <w:sz w:val="21"/>
                <w:szCs w:val="21"/>
                <w:lang w:val="en-US" w:eastAsia="zh-CN"/>
              </w:rPr>
            </w:pPr>
            <w:r>
              <w:rPr>
                <w:rFonts w:hint="eastAsia"/>
                <w:color w:val="000000"/>
                <w:sz w:val="21"/>
                <w:szCs w:val="21"/>
                <w:lang w:val="en-US" w:eastAsia="zh-CN"/>
              </w:rPr>
              <w:t>En</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能源评审报告需完善</w:t>
            </w:r>
          </w:p>
        </w:tc>
        <w:tc>
          <w:tcPr>
            <w:tcW w:w="922" w:type="dxa"/>
            <w:vAlign w:val="center"/>
          </w:tcPr>
          <w:p>
            <w:pPr>
              <w:pStyle w:val="6"/>
              <w:pBdr>
                <w:bottom w:val="none" w:color="auto" w:sz="0" w:space="0"/>
              </w:pBdr>
              <w:ind w:right="-134"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En</w:t>
            </w:r>
          </w:p>
        </w:tc>
        <w:tc>
          <w:tcPr>
            <w:tcW w:w="1133"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6.3</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1"/>
                <w:szCs w:val="21"/>
                <w:lang w:eastAsia="zh-CN"/>
              </w:rPr>
              <w:drawing>
                <wp:anchor distT="0" distB="0" distL="114300" distR="114300" simplePos="0" relativeHeight="251689984" behindDoc="0" locked="0" layoutInCell="1" allowOverlap="1">
                  <wp:simplePos x="0" y="0"/>
                  <wp:positionH relativeFrom="column">
                    <wp:posOffset>756920</wp:posOffset>
                  </wp:positionH>
                  <wp:positionV relativeFrom="paragraph">
                    <wp:posOffset>74295</wp:posOffset>
                  </wp:positionV>
                  <wp:extent cx="982345" cy="318770"/>
                  <wp:effectExtent l="0" t="0" r="0" b="11430"/>
                  <wp:wrapSquare wrapText="bothSides"/>
                  <wp:docPr id="10" name="图片 10"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李丽英电子签"/>
                          <pic:cNvPicPr>
                            <a:picLocks noChangeAspect="1"/>
                          </pic:cNvPicPr>
                        </pic:nvPicPr>
                        <pic:blipFill>
                          <a:blip r:embed="rId9"/>
                          <a:stretch>
                            <a:fillRect/>
                          </a:stretch>
                        </pic:blipFill>
                        <pic:spPr>
                          <a:xfrm>
                            <a:off x="0" y="0"/>
                            <a:ext cx="982345" cy="31877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1"/>
                <w:szCs w:val="21"/>
                <w:lang w:eastAsia="zh-CN"/>
              </w:rPr>
              <w:drawing>
                <wp:anchor distT="0" distB="0" distL="114300" distR="114300" simplePos="0" relativeHeight="251678720" behindDoc="0" locked="0" layoutInCell="1" allowOverlap="1">
                  <wp:simplePos x="0" y="0"/>
                  <wp:positionH relativeFrom="column">
                    <wp:posOffset>760095</wp:posOffset>
                  </wp:positionH>
                  <wp:positionV relativeFrom="paragraph">
                    <wp:posOffset>110490</wp:posOffset>
                  </wp:positionV>
                  <wp:extent cx="982345" cy="370840"/>
                  <wp:effectExtent l="0" t="0" r="0" b="0"/>
                  <wp:wrapSquare wrapText="bothSides"/>
                  <wp:docPr id="11" name="图片 1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李丽英电子签"/>
                          <pic:cNvPicPr>
                            <a:picLocks noChangeAspect="1"/>
                          </pic:cNvPicPr>
                        </pic:nvPicPr>
                        <pic:blipFill>
                          <a:blip r:embed="rId9"/>
                          <a:stretch>
                            <a:fillRect/>
                          </a:stretch>
                        </pic:blipFill>
                        <pic:spPr>
                          <a:xfrm>
                            <a:off x="0" y="0"/>
                            <a:ext cx="982345" cy="370840"/>
                          </a:xfrm>
                          <a:prstGeom prst="rect">
                            <a:avLst/>
                          </a:prstGeom>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p>
            <w:pPr>
              <w:spacing w:line="360" w:lineRule="exact"/>
              <w:rPr>
                <w:rFonts w:ascii="宋体"/>
                <w:b/>
                <w:bCs/>
                <w:color w:val="000000"/>
                <w:spacing w:val="-8"/>
                <w:szCs w:val="21"/>
              </w:rPr>
            </w:pPr>
          </w:p>
          <w:p>
            <w:pPr>
              <w:spacing w:line="360" w:lineRule="exact"/>
              <w:rPr>
                <w:rFonts w:ascii="宋体"/>
                <w:b/>
                <w:bCs/>
                <w:color w:val="000000"/>
                <w:spacing w:val="-8"/>
                <w:szCs w:val="21"/>
              </w:rPr>
            </w:pPr>
            <w:bookmarkStart w:id="33" w:name="_GoBack"/>
            <w:r>
              <w:drawing>
                <wp:anchor distT="0" distB="0" distL="114300" distR="114300" simplePos="0" relativeHeight="251699200" behindDoc="0" locked="0" layoutInCell="1" allowOverlap="1">
                  <wp:simplePos x="0" y="0"/>
                  <wp:positionH relativeFrom="column">
                    <wp:posOffset>622300</wp:posOffset>
                  </wp:positionH>
                  <wp:positionV relativeFrom="paragraph">
                    <wp:posOffset>-2800985</wp:posOffset>
                  </wp:positionV>
                  <wp:extent cx="4361815" cy="5387340"/>
                  <wp:effectExtent l="0" t="0" r="6985" b="1016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4361815" cy="5387340"/>
                          </a:xfrm>
                          <a:prstGeom prst="rect">
                            <a:avLst/>
                          </a:prstGeom>
                          <a:noFill/>
                          <a:ln>
                            <a:noFill/>
                          </a:ln>
                        </pic:spPr>
                      </pic:pic>
                    </a:graphicData>
                  </a:graphic>
                </wp:anchor>
              </w:drawing>
            </w:r>
            <w:bookmarkEnd w:id="33"/>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58406F1"/>
    <w:rsid w:val="2E815C26"/>
    <w:rsid w:val="71CB40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5</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2022-04-26T16:09:01Z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