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sym w:font="Wingdings 2" w:char="0052"/>
      </w:r>
      <w:r>
        <w:rPr>
          <w:rFonts w:hint="eastAsia"/>
          <w:b/>
          <w:sz w:val="22"/>
          <w:szCs w:val="22"/>
        </w:rPr>
        <w:t>EnMS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0" w:name="组织名称"/>
            <w:r>
              <w:rPr>
                <w:sz w:val="21"/>
                <w:szCs w:val="21"/>
              </w:rPr>
              <w:t>江苏铸鸿锻造有限公司</w:t>
            </w:r>
            <w:bookmarkEnd w:id="0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2.7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徐申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2.7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李丽英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宋翠琳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马佳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default" w:eastAsia="宋体"/>
                <w:b/>
                <w:sz w:val="20"/>
                <w:lang w:val="en-US" w:eastAsia="zh-CN"/>
              </w:rPr>
              <w:t>原材料光谱检测→钢锭铸造→钢锭冷却→钢锭磨修→钢锭检验→锻前加热→锻造→缓冷→矫直→检验→热处理（适用时）→车加工（适用时）→入库；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t>主要能源使用：电力、</w:t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highlight w:val="none"/>
                <w:lang w:val="en-US" w:eastAsia="zh-CN" w:bidi="ar-SA"/>
              </w:rPr>
              <w:t>天然气、柴油、汽油等</w:t>
            </w:r>
            <w:bookmarkStart w:id="1" w:name="_GoBack"/>
            <w:bookmarkEnd w:id="1"/>
          </w:p>
          <w:p>
            <w:pPr>
              <w:snapToGrid w:val="0"/>
              <w:spacing w:line="280" w:lineRule="exact"/>
              <w:jc w:val="both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t>主要能源参数等；综合能耗tce；单位产品综合能耗kgce/</w:t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highlight w:val="none"/>
                <w:lang w:val="en-US" w:eastAsia="zh-CN" w:bidi="ar-SA"/>
              </w:rPr>
              <w:t>t；单位产值综合能耗</w:t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t>kgce/万元</w:t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highlight w:val="none"/>
                <w:lang w:val="en-US" w:eastAsia="zh-CN" w:bidi="ar-SA"/>
              </w:rPr>
              <w:t>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能源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rPr>
                <w:rFonts w:hint="default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  <w:t>相关能源法律法规：</w:t>
            </w: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  <w:t xml:space="preserve">《中华人民共和国电力法》、、《中华人民共和国节约能源法》《中华人民共和国可再生能源法》、《国家重点节能技术推广目录（1-6 批）》、《企业节能量计算方法 </w:t>
            </w: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  <w:instrText xml:space="preserve"> HYPERLINK "http://www.csres.com/detail/204647.html" \h </w:instrText>
            </w: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  <w:t>GB/T 13234-201</w:t>
            </w: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  <w:t>8》、电力变压器经济运行（GB13462-2008）、综合能耗计算通则GBT2589-2020、 用能单位能源计量器具配备与管理通则（GB/T17167-2006）</w:t>
            </w:r>
            <w:r>
              <w:rPr>
                <w:rFonts w:hint="eastAsia" w:cs="Times New Roman"/>
                <w:b/>
                <w:kern w:val="2"/>
                <w:sz w:val="20"/>
                <w:szCs w:val="22"/>
                <w:lang w:val="en-US" w:eastAsia="zh-CN" w:bidi="ar-SA"/>
              </w:rPr>
              <w:t>、</w:t>
            </w:r>
            <w:r>
              <w:rPr>
                <w:rFonts w:hint="eastAsia" w:ascii="宋体" w:hAnsi="宋体"/>
                <w:b/>
                <w:sz w:val="21"/>
                <w:szCs w:val="21"/>
                <w:highlight w:val="none"/>
                <w:lang w:val="de-DE"/>
              </w:rPr>
              <w:t xml:space="preserve">RB/T </w:t>
            </w:r>
            <w:r>
              <w:rPr>
                <w:rFonts w:hint="eastAsia" w:ascii="宋体" w:hAnsi="宋体"/>
                <w:b/>
                <w:sz w:val="21"/>
                <w:szCs w:val="21"/>
                <w:highlight w:val="none"/>
              </w:rPr>
              <w:t>119-2015 能源管理体系 机械制造企业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认证要求</w:t>
            </w:r>
          </w:p>
          <w:p>
            <w:pPr>
              <w:snapToGrid w:val="0"/>
              <w:spacing w:line="280" w:lineRule="exact"/>
              <w:jc w:val="both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highlight w:val="none"/>
                <w:lang w:val="en-US" w:eastAsia="zh-CN"/>
              </w:rPr>
              <w:t>产品标准：GB/T 699-2015优质碳素结构钢、GB/T3077-2015合金结构钢、BS EN ISO683-1-2018等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14"/>
                <w:szCs w:val="14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能源评审报告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其他专业审核知识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default"/>
                <w:sz w:val="22"/>
                <w:szCs w:val="22"/>
                <w:lang w:val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119380</wp:posOffset>
                  </wp:positionH>
                  <wp:positionV relativeFrom="paragraph">
                    <wp:posOffset>-209550</wp:posOffset>
                  </wp:positionV>
                  <wp:extent cx="1268095" cy="595630"/>
                  <wp:effectExtent l="0" t="0" r="1905" b="1270"/>
                  <wp:wrapSquare wrapText="bothSides"/>
                  <wp:docPr id="3" name="图片 2" descr="1056763f4e5bd04306ddf3b9b95cbe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1056763f4e5bd04306ddf3b9b95cbe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8095" cy="595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2022.4.24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244475</wp:posOffset>
                  </wp:positionH>
                  <wp:positionV relativeFrom="paragraph">
                    <wp:posOffset>40640</wp:posOffset>
                  </wp:positionV>
                  <wp:extent cx="982345" cy="319405"/>
                  <wp:effectExtent l="0" t="0" r="0" b="10795"/>
                  <wp:wrapSquare wrapText="bothSides"/>
                  <wp:docPr id="5" name="图片 5" descr="李丽英电子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李丽英电子签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2345" cy="319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2022.4.24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4097" o:spid="_x0000_s4097" o:spt="202" type="#_x0000_t202" style="position:absolute;left:0pt;margin-left:379.65pt;margin-top:2.8pt;height:20.2pt;width:111.8pt;z-index:251658240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000000"/>
    <w:rsid w:val="055D2B3A"/>
    <w:rsid w:val="4CEF236C"/>
    <w:rsid w:val="729654A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0</TotalTime>
  <ScaleCrop>false</ScaleCrop>
  <LinksUpToDate>false</LinksUpToDate>
  <CharactersWithSpaces>322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丽英</cp:lastModifiedBy>
  <dcterms:modified xsi:type="dcterms:W3CDTF">2022-04-26T14:56:05Z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2052-11.1.0.10314</vt:lpwstr>
  </property>
</Properties>
</file>