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 w:val="0"/>
                <w:bCs w:val="0"/>
                <w:sz w:val="21"/>
                <w:szCs w:val="21"/>
              </w:rPr>
              <w:t>石家庄市荣盛装饰用布有限公司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04.03.00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安永辉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04.03.00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吉洁、周文廷、杨园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染色：原布——翻布——缝头——烧毛——冷堆水洗——丝光——染色及水洗——烘干定型——预缩——轧光——检验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漂白：原布——翻布——缝头——烧毛——冷堆水洗——丝光——浸轧——汽蒸——浸轧水洗——酸中和——烘干定型——预缩——轧光——检验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配料、染色，配比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instrText xml:space="preserve"> HYPERLINK "http://std.samr.gov.cn/hb/search/stdHBDetailed?id=8B1827F2561FBB19E05397BE0A0AB44A" \t "http://std.samr.gov.cn/search/_blank" </w:instrTex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FZ/T 10005-2018棉及化纤纯纺、混纺印染布检验规则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fldChar w:fldCharType="end"/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instrText xml:space="preserve"> HYPERLINK "http://std.samr.gov.cn/gb/search/gbDetailed?id=71F772D827F4D3A7E05397BE0A0AB82A" \t "http://std.samr.gov.cn/search/_blank" </w:instrTex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GB/T 411-2017棉印染布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fldChar w:fldCharType="end"/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90170</wp:posOffset>
                  </wp:positionV>
                  <wp:extent cx="1060450" cy="495300"/>
                  <wp:effectExtent l="0" t="0" r="6350" b="0"/>
                  <wp:wrapNone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70485</wp:posOffset>
                  </wp:positionV>
                  <wp:extent cx="968375" cy="466090"/>
                  <wp:effectExtent l="0" t="0" r="0" b="0"/>
                  <wp:wrapNone/>
                  <wp:docPr id="1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石家庄市荣盛装饰用布有限公司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04.03.00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安永辉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04.03.00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吉洁、周文廷、杨园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染色：原布——翻布——缝头——烧毛——冷堆水洗——丝光——染色及水洗——烘干定型——预缩——轧光——检验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漂白：原布——翻布——缝头——烧毛——冷堆水洗——丝光——浸轧——汽蒸——浸轧水洗——酸中和——烘干定型——预缩——轧光——检验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固废的排放、噪声的排放、废气的排放、废水的排放、火灾的发生，定期维护环保设施、编制《环境和职业健康安全运行控制程序》、制定管理方案等。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《挥发性有机物无组织排放控制标准》（GB37822-2019）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</w:rPr>
              <w:t>《工业企业挥发性有机物排放控制标准》（DB13/2322-2016）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color w:val="000000"/>
                <w:sz w:val="21"/>
                <w:szCs w:val="21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</w:rPr>
              <w:t>大气污染物综合排放标准</w:t>
            </w:r>
            <w:r>
              <w:rPr>
                <w:color w:val="000000"/>
                <w:sz w:val="21"/>
                <w:szCs w:val="21"/>
              </w:rPr>
              <w:t>》（</w:t>
            </w:r>
            <w:r>
              <w:rPr>
                <w:rFonts w:hint="eastAsia"/>
                <w:color w:val="000000"/>
                <w:sz w:val="21"/>
                <w:szCs w:val="21"/>
              </w:rPr>
              <w:t>G</w:t>
            </w:r>
            <w:r>
              <w:rPr>
                <w:color w:val="000000"/>
                <w:sz w:val="21"/>
                <w:szCs w:val="21"/>
              </w:rPr>
              <w:t>B</w:t>
            </w:r>
            <w:r>
              <w:rPr>
                <w:rFonts w:hint="eastAsia"/>
                <w:color w:val="000000"/>
                <w:sz w:val="21"/>
                <w:szCs w:val="21"/>
              </w:rPr>
              <w:t>16297</w:t>
            </w:r>
            <w:r>
              <w:rPr>
                <w:color w:val="000000"/>
                <w:sz w:val="21"/>
                <w:szCs w:val="21"/>
              </w:rPr>
              <w:t>-</w:t>
            </w:r>
            <w:r>
              <w:rPr>
                <w:rFonts w:hint="eastAsia"/>
                <w:color w:val="000000"/>
                <w:sz w:val="21"/>
                <w:szCs w:val="21"/>
              </w:rPr>
              <w:t>1996</w:t>
            </w:r>
            <w:r>
              <w:rPr>
                <w:color w:val="000000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color w:val="000000"/>
                <w:sz w:val="21"/>
                <w:szCs w:val="21"/>
              </w:rPr>
              <w:t>《纺织染整工业水污染物排放标准》（GB4287-2012）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《污水综合排放标准》（GB8978-96）、《工业炉窑大气污染物排放标准》（DB13/1640-2012）《工业企业厂界环境噪声排放标准》（GB12348-2008）、《危险废物贮存污染控制标准》（GB18597-2001）、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instrText xml:space="preserve"> HYPERLINK "http://std.samr.gov.cn/hb/search/stdHBDetailed?id=8B1827F2561FBB19E05397BE0A0AB44A" \t "http://std.samr.gov.cn/search/_blank" </w:instrTex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FZ/T 10005-2018棉及化纤纯纺、混纺印染布检验规则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instrText xml:space="preserve"> HYPERLINK "http://std.samr.gov.cn/gb/search/gbDetailed?id=71F772D827F4D3A7E05397BE0A0AB82A" \t "http://std.samr.gov.cn/search/_blank" </w:instrTex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GB/T 411-2017棉印染布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fldChar w:fldCharType="end"/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废水、废气、噪声检测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90170</wp:posOffset>
                  </wp:positionV>
                  <wp:extent cx="1060450" cy="495300"/>
                  <wp:effectExtent l="0" t="0" r="635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88265</wp:posOffset>
                  </wp:positionV>
                  <wp:extent cx="968375" cy="466090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石家庄市荣盛装饰用布有限公司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04.03.00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安永辉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04.03.00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吉洁、周文廷、杨园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染色：原布——翻布——缝头——烧毛——冷堆水洗——丝光——染色及水洗——烘干定型——预缩——轧光——检验</w:t>
            </w:r>
          </w:p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漂白：原布——翻布——缝头——烧毛——冷堆水洗——丝光——浸轧——汽蒸——浸轧水洗——酸中和——烘干定型——预缩——轧光——检验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潜在火灾、爆炸、</w:t>
            </w:r>
            <w:r>
              <w:rPr>
                <w:rFonts w:hint="eastAsia"/>
                <w:b/>
                <w:sz w:val="20"/>
                <w:lang w:val="en-US" w:eastAsia="zh-CN"/>
              </w:rPr>
              <w:t>机械伤害、触电伤害、</w:t>
            </w:r>
            <w:r>
              <w:rPr>
                <w:rFonts w:hint="eastAsia"/>
                <w:b/>
                <w:sz w:val="20"/>
                <w:lang w:val="en-US" w:eastAsia="zh-CN"/>
              </w:rPr>
              <w:t>噪声伤害、废气伤害，编制《环境和职业健康安全运行控制程序》、制定管理方案、对员工进行培训、</w:t>
            </w:r>
            <w:r>
              <w:rPr>
                <w:rFonts w:hint="eastAsia"/>
                <w:b/>
                <w:sz w:val="20"/>
                <w:lang w:val="en-US" w:eastAsia="zh-CN"/>
              </w:rPr>
              <w:t>发放劳保用品等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安全生产法、劳动法、职业病防治法、</w: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/>
                <w:b/>
                <w:sz w:val="20"/>
                <w:lang w:val="en-US" w:eastAsia="zh-CN"/>
              </w:rPr>
              <w:instrText xml:space="preserve"> HYPERLINK "http://std.samr.gov.cn/hb/search/stdHBDetailed?id=8B1827F2561FBB19E05397BE0A0AB44A" \t "http://std.samr.gov.cn/search/_blank" </w:instrTex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/>
                <w:b/>
                <w:sz w:val="20"/>
                <w:lang w:val="en-US" w:eastAsia="zh-CN"/>
              </w:rPr>
              <w:t>FZ/T 10005-2018棉及化纤纯纺、混纺印染布检验规则</w: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/>
                <w:b/>
                <w:sz w:val="20"/>
                <w:lang w:val="en-US"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/>
                <w:b/>
                <w:sz w:val="20"/>
                <w:lang w:val="en-US" w:eastAsia="zh-CN"/>
              </w:rPr>
              <w:instrText xml:space="preserve"> HYPERLINK "http://std.samr.gov.cn/gb/search/gbDetailed?id=71F772D827F4D3A7E05397BE0A0AB82A" \t "http://std.samr.gov.cn/search/_blank" </w:instrTex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/>
                <w:b/>
                <w:sz w:val="20"/>
                <w:lang w:val="en-US" w:eastAsia="zh-CN"/>
              </w:rPr>
              <w:t>GB/T 411-2017棉印染布</w: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90170</wp:posOffset>
                  </wp:positionV>
                  <wp:extent cx="1060450" cy="495300"/>
                  <wp:effectExtent l="0" t="0" r="6350" b="0"/>
                  <wp:wrapNone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122555</wp:posOffset>
                  </wp:positionV>
                  <wp:extent cx="968375" cy="466090"/>
                  <wp:effectExtent l="0" t="0" r="0" b="0"/>
                  <wp:wrapNone/>
                  <wp:docPr id="4" name="图片 4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8" w:usb3="00000000" w:csb0="0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DC61C9A"/>
    <w:rsid w:val="534337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2022-05-26T09:32:38Z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